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F07CAA" w14:textId="77777777" w:rsidR="00B14A46" w:rsidRPr="00D56A31" w:rsidRDefault="00B14A46" w:rsidP="001C274C">
      <w:pPr>
        <w:pStyle w:val="Heading1"/>
      </w:pPr>
    </w:p>
    <w:p w14:paraId="37EB4885" w14:textId="77777777" w:rsidR="00B14A46" w:rsidRPr="00D56A31" w:rsidRDefault="00B14A46" w:rsidP="001C274C">
      <w:pPr>
        <w:pStyle w:val="Heading1"/>
      </w:pPr>
    </w:p>
    <w:p w14:paraId="5849EA16" w14:textId="77777777" w:rsidR="00B14A46" w:rsidRPr="00D56A31" w:rsidRDefault="00B14A46" w:rsidP="001C274C">
      <w:pPr>
        <w:pStyle w:val="Heading1"/>
      </w:pPr>
    </w:p>
    <w:p w14:paraId="26A62AAE" w14:textId="77777777" w:rsidR="00B14A46" w:rsidRPr="00D56A31" w:rsidRDefault="00B14A46" w:rsidP="001C274C">
      <w:pPr>
        <w:pStyle w:val="Heading1"/>
      </w:pPr>
    </w:p>
    <w:p w14:paraId="4FC02323" w14:textId="77777777" w:rsidR="00B14A46" w:rsidRPr="00D56A31" w:rsidRDefault="00B14A46" w:rsidP="001C274C">
      <w:pPr>
        <w:pStyle w:val="Heading1"/>
      </w:pPr>
    </w:p>
    <w:p w14:paraId="1910CBF6" w14:textId="77777777" w:rsidR="00B14A46" w:rsidRPr="00D56A31" w:rsidRDefault="00B14A46" w:rsidP="001C274C">
      <w:pPr>
        <w:pStyle w:val="Heading1"/>
      </w:pPr>
    </w:p>
    <w:p w14:paraId="346D5277" w14:textId="77777777" w:rsidR="00B14A46" w:rsidRPr="00D56A31" w:rsidRDefault="00B14A46" w:rsidP="001C274C">
      <w:pPr>
        <w:pStyle w:val="Heading1"/>
      </w:pPr>
    </w:p>
    <w:p w14:paraId="61017E9D" w14:textId="77777777" w:rsidR="00B14A46" w:rsidRPr="00D56A31" w:rsidRDefault="00B14A46" w:rsidP="001C274C">
      <w:pPr>
        <w:pStyle w:val="Heading1"/>
      </w:pPr>
    </w:p>
    <w:p w14:paraId="11632FA5" w14:textId="77777777" w:rsidR="002F0031" w:rsidRPr="00D56A31" w:rsidRDefault="002F0031" w:rsidP="002F0031">
      <w:pPr>
        <w:rPr>
          <w:rFonts w:ascii="Verdana" w:hAnsi="Verdana"/>
        </w:rPr>
      </w:pPr>
    </w:p>
    <w:p w14:paraId="252781EB" w14:textId="77777777" w:rsidR="00B14A46" w:rsidRPr="00D56A31" w:rsidRDefault="00B14A46" w:rsidP="001C274C">
      <w:pPr>
        <w:pStyle w:val="Heading1"/>
      </w:pPr>
    </w:p>
    <w:p w14:paraId="77AFD7F4" w14:textId="77777777" w:rsidR="00B14A46" w:rsidRPr="00D56A31" w:rsidRDefault="00B14A46" w:rsidP="001C274C">
      <w:pPr>
        <w:pStyle w:val="Heading1"/>
      </w:pPr>
    </w:p>
    <w:p w14:paraId="2FFCA5B3" w14:textId="77777777" w:rsidR="00916490" w:rsidRPr="00D56A31" w:rsidRDefault="00916490" w:rsidP="001C274C">
      <w:pPr>
        <w:pStyle w:val="TOCHeading"/>
        <w:rPr>
          <w:vertAlign w:val="subscript"/>
        </w:rPr>
      </w:pPr>
    </w:p>
    <w:p w14:paraId="0A6D99D3" w14:textId="77777777" w:rsidR="00565095" w:rsidRPr="00D56A31" w:rsidRDefault="00565095" w:rsidP="00565095">
      <w:pPr>
        <w:pStyle w:val="CoverHeading"/>
      </w:pPr>
    </w:p>
    <w:p w14:paraId="29B2E64E" w14:textId="77777777" w:rsidR="00565095" w:rsidRPr="00D56A31" w:rsidRDefault="00565095" w:rsidP="00565095">
      <w:pPr>
        <w:pStyle w:val="CoverHeading"/>
      </w:pPr>
    </w:p>
    <w:p w14:paraId="4F3A1015" w14:textId="77777777" w:rsidR="00565095" w:rsidRPr="00D56A31" w:rsidRDefault="00565095" w:rsidP="00565095">
      <w:pPr>
        <w:pStyle w:val="CoverHeading"/>
      </w:pPr>
    </w:p>
    <w:p w14:paraId="10CA0A5C" w14:textId="77777777" w:rsidR="00FE7095" w:rsidRPr="00D56A31" w:rsidRDefault="004560F3" w:rsidP="00553A62">
      <w:pPr>
        <w:pStyle w:val="CoverHeading"/>
        <w:jc w:val="left"/>
      </w:pPr>
      <w:r w:rsidRPr="00D56A31">
        <w:t>2024</w:t>
      </w:r>
      <w:r w:rsidR="00FE7095" w:rsidRPr="00D56A31">
        <w:t xml:space="preserve"> Australian Paralympic Team Policies</w:t>
      </w:r>
    </w:p>
    <w:p w14:paraId="40C90A93" w14:textId="77777777" w:rsidR="00553A62" w:rsidRPr="00D56A31" w:rsidRDefault="00553A62" w:rsidP="00553A62">
      <w:pPr>
        <w:pStyle w:val="CoverHeading"/>
        <w:jc w:val="left"/>
      </w:pPr>
    </w:p>
    <w:p w14:paraId="53291503" w14:textId="3B0D23E8" w:rsidR="00925EA8" w:rsidRPr="00D56A31" w:rsidRDefault="003E1D3E" w:rsidP="00553A62">
      <w:pPr>
        <w:pStyle w:val="Heading2"/>
      </w:pPr>
      <w:r w:rsidRPr="00D56A31">
        <w:t xml:space="preserve">Concussion Management </w:t>
      </w:r>
    </w:p>
    <w:p w14:paraId="4AAB737A" w14:textId="69449CB6" w:rsidR="00C07669" w:rsidRPr="00D56A31" w:rsidRDefault="002050E2" w:rsidP="00310BB1">
      <w:pPr>
        <w:pStyle w:val="Heading3"/>
      </w:pPr>
      <w:r w:rsidRPr="00D56A31">
        <w:br w:type="page"/>
      </w:r>
    </w:p>
    <w:p w14:paraId="169880E0" w14:textId="2EC22063" w:rsidR="00310BB1" w:rsidRPr="00D56A31" w:rsidRDefault="003E1D3E" w:rsidP="00310BB1">
      <w:pPr>
        <w:pStyle w:val="Heading3"/>
      </w:pPr>
      <w:r w:rsidRPr="00D56A31">
        <w:lastRenderedPageBreak/>
        <w:t>Introduction</w:t>
      </w:r>
    </w:p>
    <w:p w14:paraId="38C94623" w14:textId="77777777" w:rsidR="00860ACE" w:rsidRPr="00D56A31" w:rsidRDefault="00860ACE" w:rsidP="00C264FC">
      <w:pPr>
        <w:pStyle w:val="BodyText"/>
      </w:pPr>
      <w:r w:rsidRPr="00D56A31">
        <w:t xml:space="preserve">Outside of Paralympic Games times, management of Sports Related Concussion (SRC) in Para athletes falls under the jurisdiction of the particular sporting federation that a Para athlete represents. The only exceptions to this are Wheelchair Rugby and Powerlifting which come under Paralympics Australia jurisdiction throughout the four-year Paralympic Cycle. </w:t>
      </w:r>
    </w:p>
    <w:p w14:paraId="1B07D4D6" w14:textId="77777777" w:rsidR="00860ACE" w:rsidRPr="00D56A31" w:rsidRDefault="00860ACE" w:rsidP="00C264FC">
      <w:pPr>
        <w:pStyle w:val="BodyText"/>
        <w:rPr>
          <w:iCs/>
        </w:rPr>
      </w:pPr>
      <w:r w:rsidRPr="00D56A31">
        <w:t>However, during the period of the Paralympic Games (summer and winter) management of SRC among members of the Australian Paralympic Team (APT) is the responsibility of the PA Headquarters Medical Team. This document articulates the Concussion Management Policy that will be applied by the HQ Medical Team during the Paralympic Games in Paris in 2024. The Policy will apply from 22nd August 2024, the Athlete Village opening date, until the APT returns to Australia on 11th September 2024.</w:t>
      </w:r>
    </w:p>
    <w:p w14:paraId="2E8CBC37" w14:textId="659A056D" w:rsidR="00310BB1" w:rsidRPr="00D56A31" w:rsidRDefault="006251FC" w:rsidP="006251FC">
      <w:pPr>
        <w:pStyle w:val="Heading3"/>
      </w:pPr>
      <w:r w:rsidRPr="00D56A31">
        <w:t>What is concussion?</w:t>
      </w:r>
    </w:p>
    <w:p w14:paraId="787D3BBA" w14:textId="77777777" w:rsidR="001D0E4C" w:rsidRPr="00D56A31" w:rsidRDefault="001D0E4C" w:rsidP="00310BB1">
      <w:pPr>
        <w:pStyle w:val="Heading3"/>
        <w:rPr>
          <w:rFonts w:eastAsia="Arial" w:cs="Arial"/>
          <w:iCs w:val="0"/>
          <w:color w:val="auto"/>
          <w:sz w:val="22"/>
          <w:szCs w:val="20"/>
        </w:rPr>
      </w:pPr>
      <w:r w:rsidRPr="00D56A31">
        <w:rPr>
          <w:rFonts w:eastAsia="Arial" w:cs="Arial"/>
          <w:iCs w:val="0"/>
          <w:color w:val="auto"/>
          <w:sz w:val="22"/>
          <w:szCs w:val="20"/>
        </w:rPr>
        <w:t xml:space="preserve">A concussion occurs through a collision with another person or object where biomechanical forces to the head, or anywhere on the body transmit an impulsive force to the head/brain, resulting in transient neurological impairment (AIS Concussion and Brain Health Statement 2023). Symptoms can include headache, blurred vision, impaired balance, memory loss, confusion, and diminished cognitive function. Onset of symptoms is typically rapid, and the condition often evolves over hours or days. Recovery times following concussion vary between athletes and can take days or weeks. </w:t>
      </w:r>
    </w:p>
    <w:p w14:paraId="1217F1AC" w14:textId="43C708D3" w:rsidR="00310BB1" w:rsidRPr="00D56A31" w:rsidRDefault="00F04484" w:rsidP="00310BB1">
      <w:pPr>
        <w:pStyle w:val="Heading3"/>
      </w:pPr>
      <w:r w:rsidRPr="00D56A31">
        <w:t>Concussion Assessment for Para Athletes</w:t>
      </w:r>
    </w:p>
    <w:p w14:paraId="77B15458" w14:textId="77777777" w:rsidR="00774CC1" w:rsidRPr="00D56A31" w:rsidRDefault="00774CC1" w:rsidP="00774CC1">
      <w:pPr>
        <w:pStyle w:val="Heading3"/>
        <w:rPr>
          <w:rFonts w:eastAsia="Arial" w:cs="Arial"/>
          <w:iCs w:val="0"/>
          <w:color w:val="auto"/>
          <w:sz w:val="22"/>
          <w:szCs w:val="20"/>
        </w:rPr>
      </w:pPr>
      <w:r w:rsidRPr="00D56A31">
        <w:rPr>
          <w:rFonts w:eastAsia="Arial" w:cs="Arial"/>
          <w:iCs w:val="0"/>
          <w:color w:val="auto"/>
          <w:sz w:val="22"/>
          <w:szCs w:val="20"/>
        </w:rPr>
        <w:t xml:space="preserve">“The diagnosis of concussion is a clinical determination made by a Health Care Professional” (Patricios et al 2023). This statement is true for both able-bodied and Para athletes. Any athlete with suspected concussion should be REMOVED FROM PLAY, medically assessed, and monitored for injury related signs and symptoms, including deterioration of their clinical condition (Patricios et al, 2023). As part of the overall assessment an attending medical professional may choose to seek a corroborative history from suitable team members (eg coach) or carers, if available, to assist them in clinical decision making. It is important to acknowledge that some Para athletes have higher pre-injury SRC symptomatology related to their impairment. </w:t>
      </w:r>
    </w:p>
    <w:p w14:paraId="707FBE9D" w14:textId="77777777" w:rsidR="00774CC1" w:rsidRPr="00D56A31" w:rsidRDefault="00774CC1" w:rsidP="00774CC1">
      <w:pPr>
        <w:pStyle w:val="Heading3"/>
        <w:rPr>
          <w:rFonts w:eastAsia="Arial" w:cs="Arial"/>
          <w:iCs w:val="0"/>
          <w:color w:val="auto"/>
          <w:sz w:val="22"/>
          <w:szCs w:val="20"/>
        </w:rPr>
      </w:pPr>
      <w:r w:rsidRPr="00D56A31">
        <w:rPr>
          <w:rFonts w:eastAsia="Arial" w:cs="Arial"/>
          <w:iCs w:val="0"/>
          <w:color w:val="auto"/>
          <w:sz w:val="22"/>
          <w:szCs w:val="20"/>
        </w:rPr>
        <w:t>In the event that a Health Care Professional (HCP) is not present at a Paralympic training or competition venue where there is concern that an Australian Para athlete has sustained a Sport Related Concussion then the Concussion Recognition Tool 6 (CRT6) can be used (Echemendia et al, 2023; see Appendix 1 below). This is a ‘recognise and remove’ tool for non-medically trained persons, which can be used to identify suspected SRC at all ages and levels of activity, across a broad range of athletes from different sports, including Para athletes. Any athlete with a suspected concussion should immediately be removed from training/competition and not return until assessed by an HCP trained in concussion assessment. For Paris 2024 this assessment will be conducted by a member of the HQ Medical Team. The guiding principle here should be “If in doubt, sit them out” (AIS Concussion and Brain Health Position Statement 2023).</w:t>
      </w:r>
    </w:p>
    <w:p w14:paraId="2B0BBD26" w14:textId="77777777" w:rsidR="00183873" w:rsidRDefault="00183873">
      <w:pPr>
        <w:spacing w:line="240" w:lineRule="auto"/>
        <w:rPr>
          <w:rFonts w:ascii="Verdana" w:eastAsia="Times New Roman" w:hAnsi="Verdana"/>
          <w:iCs/>
          <w:color w:val="007B77" w:themeColor="text2"/>
          <w:sz w:val="28"/>
          <w:szCs w:val="22"/>
        </w:rPr>
      </w:pPr>
      <w:r>
        <w:br w:type="page"/>
      </w:r>
    </w:p>
    <w:p w14:paraId="628B2D12" w14:textId="55048FC1" w:rsidR="00774CC1" w:rsidRPr="00D56A31" w:rsidRDefault="00774CC1" w:rsidP="00774CC1">
      <w:pPr>
        <w:pStyle w:val="Heading3"/>
      </w:pPr>
      <w:r w:rsidRPr="00D56A31">
        <w:lastRenderedPageBreak/>
        <w:t>Concussion Assessment for Para Athletes at Paris 2024</w:t>
      </w:r>
    </w:p>
    <w:p w14:paraId="01972E77"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 xml:space="preserve">Concussion in Australian Para athletes at Paris 2024 will, to the extent possible, be assessed, diagnosed, and managed according to the existing consensus guidelines that are applied for the able-bodied population. This will include utilization of a Sport Concussion Assessment Tool such as the SCAT6 (Echemendia et al 2023), although some components of this tool may require adaptation in accordance with the athlete’s particular impairment/s (Weiler et al 2021). </w:t>
      </w:r>
    </w:p>
    <w:p w14:paraId="1FDE44ED" w14:textId="2DBBDD32"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 xml:space="preserve">In addition, APT HQ Medical Staff will have access to the “Cogstate Brief Battery”. This is a standardised on-line test of cognitive function that has been developed by Cognigram. There is a database of thousands of age-matched controls which often permits testing of athletes who have not had baseline testing prior to suffering a concussion (although athletes with visual impairments or intellectual disability </w:t>
      </w:r>
      <w:r w:rsidR="00B0635C">
        <w:rPr>
          <w:rFonts w:eastAsia="Arial" w:cs="Arial"/>
          <w:iCs w:val="0"/>
          <w:color w:val="auto"/>
          <w:sz w:val="22"/>
          <w:szCs w:val="20"/>
        </w:rPr>
        <w:t>may</w:t>
      </w:r>
      <w:r w:rsidRPr="00D56A31">
        <w:rPr>
          <w:rFonts w:eastAsia="Arial" w:cs="Arial"/>
          <w:iCs w:val="0"/>
          <w:color w:val="auto"/>
          <w:sz w:val="22"/>
          <w:szCs w:val="20"/>
        </w:rPr>
        <w:t xml:space="preserve"> not be suitable for this type of testing).  The Cogstate assessment will be administered by appropriately trained HQ doctors and physiotherapists using a laptop or tablet device. </w:t>
      </w:r>
    </w:p>
    <w:p w14:paraId="2D070CB2"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Key principles of SRC management in APT Para athletes at Paris 2024 will include the following:</w:t>
      </w:r>
    </w:p>
    <w:p w14:paraId="027ECA6B"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Recognize and remove:</w:t>
      </w:r>
      <w:r w:rsidRPr="00D56A31">
        <w:rPr>
          <w:rFonts w:eastAsia="Arial" w:cs="Arial"/>
          <w:iCs w:val="0"/>
          <w:color w:val="auto"/>
          <w:sz w:val="22"/>
          <w:szCs w:val="20"/>
        </w:rPr>
        <w:t xml:space="preserve"> once concussion is suspected the athlete should be removed from play or practice as detailed above</w:t>
      </w:r>
    </w:p>
    <w:p w14:paraId="55281A1D"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Assessment:</w:t>
      </w:r>
      <w:r w:rsidRPr="00D56A31">
        <w:rPr>
          <w:rFonts w:eastAsia="Arial" w:cs="Arial"/>
          <w:iCs w:val="0"/>
          <w:color w:val="auto"/>
          <w:sz w:val="22"/>
          <w:szCs w:val="20"/>
        </w:rPr>
        <w:t xml:space="preserve"> by APT HQ Doctor if not on site at injury event location</w:t>
      </w:r>
    </w:p>
    <w:p w14:paraId="7E7EA54F"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t>(Notification of APT HQ Medical Staff: if athlete is a member of a team travelling with its own Federation doctor to Paris)</w:t>
      </w:r>
    </w:p>
    <w:p w14:paraId="5B98CDE5"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Rest:</w:t>
      </w:r>
      <w:r w:rsidRPr="00D56A31">
        <w:rPr>
          <w:rFonts w:eastAsia="Arial" w:cs="Arial"/>
          <w:iCs w:val="0"/>
          <w:color w:val="auto"/>
          <w:sz w:val="22"/>
          <w:szCs w:val="20"/>
        </w:rPr>
        <w:t xml:space="preserve"> brief period of physical and cognitive rest (24-48h)</w:t>
      </w:r>
    </w:p>
    <w:p w14:paraId="101FB052"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Active rest:</w:t>
      </w:r>
      <w:r w:rsidRPr="00D56A31">
        <w:rPr>
          <w:rFonts w:eastAsia="Arial" w:cs="Arial"/>
          <w:iCs w:val="0"/>
          <w:color w:val="auto"/>
          <w:sz w:val="22"/>
          <w:szCs w:val="20"/>
        </w:rPr>
        <w:t xml:space="preserve"> gradual and progressive increase in activity while staying below their cognitive and physical exacerbation thresholds (activity should not worsen symptoms)</w:t>
      </w:r>
    </w:p>
    <w:p w14:paraId="2ABC035F" w14:textId="77777777" w:rsidR="005510FC"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Graded return to sport (GRTS):</w:t>
      </w:r>
      <w:r w:rsidRPr="00D56A31">
        <w:rPr>
          <w:rFonts w:eastAsia="Arial" w:cs="Arial"/>
          <w:iCs w:val="0"/>
          <w:color w:val="auto"/>
          <w:sz w:val="22"/>
          <w:szCs w:val="20"/>
        </w:rPr>
        <w:t xml:space="preserve">  as per figure 1 below. Each stage in the GRTS , highlighted in orange or green in figure 1, should be at least 24 hours and symptoms should return to baseline prior to progressing to the next stage. If symptoms do not return to baseline and are prolonged or severely exacerbated the athlete should not progress to the next stage. In these circumstances review by a member of the APT HQ Medical Team will be required.</w:t>
      </w:r>
    </w:p>
    <w:p w14:paraId="4A36B415" w14:textId="77777777" w:rsidR="008E2E6A" w:rsidRPr="00D56A31" w:rsidRDefault="005510FC" w:rsidP="005510FC">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Reconsider and refer:</w:t>
      </w:r>
      <w:r w:rsidRPr="00D56A31">
        <w:rPr>
          <w:rFonts w:eastAsia="Arial" w:cs="Arial"/>
          <w:iCs w:val="0"/>
          <w:color w:val="auto"/>
          <w:sz w:val="22"/>
          <w:szCs w:val="20"/>
        </w:rPr>
        <w:t xml:space="preserve"> delayed progression through the GRTS because of persistent or recurrent symptoms may necessitate referral by HQ Medical Officers to specialist practitioners. Examples include physiotherapy for cervical spine or vestibular dysfunction, and cognitive behavioral therapy (CBT) for persistent mood or behavioural issues.</w:t>
      </w:r>
    </w:p>
    <w:p w14:paraId="71D7B27F" w14:textId="77777777" w:rsidR="00C537F2" w:rsidRDefault="00C537F2">
      <w:pPr>
        <w:spacing w:line="240" w:lineRule="auto"/>
        <w:rPr>
          <w:rFonts w:ascii="Verdana" w:hAnsi="Verdana" w:cs="Arial"/>
          <w:b/>
          <w:bCs/>
          <w:sz w:val="24"/>
          <w:szCs w:val="20"/>
        </w:rPr>
      </w:pPr>
      <w:r>
        <w:br w:type="page"/>
      </w:r>
    </w:p>
    <w:p w14:paraId="44017FDE" w14:textId="608BE4DC" w:rsidR="008E2E6A" w:rsidRPr="00D56A31" w:rsidRDefault="008E2E6A" w:rsidP="008E2E6A">
      <w:pPr>
        <w:pStyle w:val="TableHeading"/>
      </w:pPr>
      <w:r w:rsidRPr="00D56A31">
        <w:lastRenderedPageBreak/>
        <w:t xml:space="preserve">Figure 1: Graded return to sport framework (AIS Concussion and Brain Health Position Statement 2023) </w:t>
      </w:r>
    </w:p>
    <w:p w14:paraId="248521E3" w14:textId="0D15D3A5" w:rsidR="00EB085C" w:rsidRPr="00D56A31" w:rsidRDefault="00C537F2" w:rsidP="008E2E6A">
      <w:pPr>
        <w:pStyle w:val="TableHeading"/>
      </w:pPr>
      <w:r>
        <w:rPr>
          <w:noProof/>
        </w:rPr>
        <w:drawing>
          <wp:inline distT="0" distB="0" distL="0" distR="0" wp14:anchorId="19650FB3" wp14:editId="343B3D5E">
            <wp:extent cx="8005756" cy="6247848"/>
            <wp:effectExtent l="2540" t="0" r="0" b="0"/>
            <wp:docPr id="2015901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01644" name=""/>
                    <pic:cNvPicPr/>
                  </pic:nvPicPr>
                  <pic:blipFill>
                    <a:blip r:embed="rId11"/>
                    <a:stretch>
                      <a:fillRect/>
                    </a:stretch>
                  </pic:blipFill>
                  <pic:spPr>
                    <a:xfrm rot="16200000">
                      <a:off x="0" y="0"/>
                      <a:ext cx="8016452" cy="6256196"/>
                    </a:xfrm>
                    <a:prstGeom prst="rect">
                      <a:avLst/>
                    </a:prstGeom>
                  </pic:spPr>
                </pic:pic>
              </a:graphicData>
            </a:graphic>
          </wp:inline>
        </w:drawing>
      </w:r>
    </w:p>
    <w:p w14:paraId="31878A59" w14:textId="3AADACDC" w:rsidR="00310BB1" w:rsidRPr="00D56A31" w:rsidRDefault="004E0111" w:rsidP="005510FC">
      <w:pPr>
        <w:pStyle w:val="Heading3"/>
      </w:pPr>
      <w:r w:rsidRPr="00D56A31">
        <w:lastRenderedPageBreak/>
        <w:t>Para Athlete Specific Considerations</w:t>
      </w:r>
    </w:p>
    <w:p w14:paraId="02DF10C2" w14:textId="77777777" w:rsidR="00015794" w:rsidRPr="00D56A31" w:rsidRDefault="00015794" w:rsidP="00015794">
      <w:pPr>
        <w:pStyle w:val="Heading3"/>
        <w:rPr>
          <w:rFonts w:eastAsia="Arial" w:cs="Arial"/>
          <w:iCs w:val="0"/>
          <w:color w:val="auto"/>
          <w:sz w:val="22"/>
          <w:szCs w:val="20"/>
        </w:rPr>
      </w:pPr>
      <w:r w:rsidRPr="00D56A31">
        <w:rPr>
          <w:rFonts w:eastAsia="Arial" w:cs="Arial"/>
          <w:iCs w:val="0"/>
          <w:color w:val="auto"/>
          <w:sz w:val="22"/>
          <w:szCs w:val="20"/>
        </w:rPr>
        <w:t>It is important for HCPs to be aware of the need to modify and refine concussion management depending on the unique nature of a Para athlete’s impairment/s (Weiler et al 2021):</w:t>
      </w:r>
    </w:p>
    <w:p w14:paraId="42929CEC" w14:textId="77777777" w:rsidR="00015794" w:rsidRPr="00D56A31" w:rsidRDefault="00015794" w:rsidP="00015794">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Recognize and remove:</w:t>
      </w:r>
      <w:r w:rsidRPr="00D56A31">
        <w:rPr>
          <w:rFonts w:eastAsia="Arial" w:cs="Arial"/>
          <w:iCs w:val="0"/>
          <w:color w:val="auto"/>
          <w:sz w:val="22"/>
          <w:szCs w:val="20"/>
        </w:rPr>
        <w:t xml:space="preserve"> Para athletes with intellectual impairment may have more difficulty understanding the need for removal from play</w:t>
      </w:r>
    </w:p>
    <w:p w14:paraId="0D9AD74A" w14:textId="77777777" w:rsidR="00015794" w:rsidRPr="00D56A31" w:rsidRDefault="00015794" w:rsidP="00015794">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Rest:</w:t>
      </w:r>
      <w:r w:rsidRPr="00D56A31">
        <w:rPr>
          <w:rFonts w:eastAsia="Arial" w:cs="Arial"/>
          <w:iCs w:val="0"/>
          <w:color w:val="auto"/>
          <w:sz w:val="22"/>
          <w:szCs w:val="20"/>
        </w:rPr>
        <w:t xml:space="preserve"> Wheelchair users may require additional assistance with chair propulsion, and with transfers, to avoid exacerbation of symptoms during the initial 24-48 hour rest period post-concussion</w:t>
      </w:r>
    </w:p>
    <w:p w14:paraId="41BB3C96" w14:textId="77777777" w:rsidR="00183873" w:rsidRDefault="00015794" w:rsidP="00015794">
      <w:pPr>
        <w:pStyle w:val="Heading3"/>
        <w:rPr>
          <w:rFonts w:eastAsia="Arial" w:cs="Arial"/>
          <w:iCs w:val="0"/>
          <w:color w:val="auto"/>
          <w:sz w:val="22"/>
          <w:szCs w:val="20"/>
        </w:rPr>
      </w:pPr>
      <w:r w:rsidRPr="00D56A31">
        <w:rPr>
          <w:rFonts w:eastAsia="Arial" w:cs="Arial"/>
          <w:iCs w:val="0"/>
          <w:color w:val="auto"/>
          <w:sz w:val="22"/>
          <w:szCs w:val="20"/>
        </w:rPr>
        <w:t>•</w:t>
      </w:r>
      <w:r w:rsidRPr="00D56A31">
        <w:rPr>
          <w:rFonts w:eastAsia="Arial" w:cs="Arial"/>
          <w:iCs w:val="0"/>
          <w:color w:val="auto"/>
          <w:sz w:val="22"/>
          <w:szCs w:val="20"/>
        </w:rPr>
        <w:tab/>
      </w:r>
      <w:r w:rsidRPr="00D56A31">
        <w:rPr>
          <w:rFonts w:eastAsia="Arial" w:cs="Arial"/>
          <w:b/>
          <w:bCs/>
          <w:iCs w:val="0"/>
          <w:color w:val="auto"/>
          <w:sz w:val="22"/>
          <w:szCs w:val="20"/>
        </w:rPr>
        <w:t>Active rest and GRTS:</w:t>
      </w:r>
      <w:r w:rsidRPr="00D56A31">
        <w:rPr>
          <w:rFonts w:eastAsia="Arial" w:cs="Arial"/>
          <w:iCs w:val="0"/>
          <w:color w:val="auto"/>
          <w:sz w:val="22"/>
          <w:szCs w:val="20"/>
        </w:rPr>
        <w:t xml:space="preserve"> as the Para athlete begins to gradually increase their level of physical activity, the method for testing exercise threshold may require modification. For example, stationary cycling is often used as a submaximal exercise challenge, but this will not be suitable for wheelchair users. In this instance a hand cycle could be used as an alternative. Balance testing and testing of reaction time may also need to be adapted to accommodate relevant impairments. </w:t>
      </w:r>
    </w:p>
    <w:p w14:paraId="2970E3D8" w14:textId="57BA9704" w:rsidR="00310BB1" w:rsidRPr="00D56A31" w:rsidRDefault="00310BB1" w:rsidP="00310BB1">
      <w:pPr>
        <w:pStyle w:val="BodyText"/>
      </w:pPr>
    </w:p>
    <w:p w14:paraId="6AE19EF9" w14:textId="685039EE" w:rsidR="00310BB1" w:rsidRPr="00D56A31" w:rsidRDefault="001803DB" w:rsidP="00310BB1">
      <w:pPr>
        <w:pStyle w:val="Heading3"/>
      </w:pPr>
      <w:r w:rsidRPr="00D56A31">
        <w:t>Concussion Handover</w:t>
      </w:r>
    </w:p>
    <w:p w14:paraId="1E364CE8" w14:textId="77777777" w:rsidR="00523F46" w:rsidRPr="00D56A31" w:rsidRDefault="00523F46" w:rsidP="00523F46">
      <w:pPr>
        <w:pStyle w:val="Heading3"/>
        <w:rPr>
          <w:rFonts w:eastAsia="Arial" w:cs="Arial"/>
          <w:iCs w:val="0"/>
          <w:color w:val="auto"/>
          <w:sz w:val="22"/>
          <w:szCs w:val="20"/>
        </w:rPr>
      </w:pPr>
      <w:r w:rsidRPr="00D56A31">
        <w:rPr>
          <w:rFonts w:eastAsia="Arial" w:cs="Arial"/>
          <w:iCs w:val="0"/>
          <w:color w:val="auto"/>
          <w:sz w:val="22"/>
          <w:szCs w:val="20"/>
        </w:rPr>
        <w:t>If an athlete has suffered an SRC prior to joining the APT in Paris, then a comprehensive handover must be made to the APT HQ Medical Team. Similarly, the APT HQ Medical Team will provide a handover to an athlete’s sporting federation in the event that an episode of SRC is experienced during the Paralympic Games.</w:t>
      </w:r>
    </w:p>
    <w:p w14:paraId="6E22D7B6" w14:textId="77777777" w:rsidR="00523F46" w:rsidRDefault="00523F46" w:rsidP="00523F46">
      <w:pPr>
        <w:pStyle w:val="Heading3"/>
        <w:rPr>
          <w:rFonts w:eastAsia="Arial" w:cs="Arial"/>
          <w:iCs w:val="0"/>
          <w:color w:val="auto"/>
          <w:sz w:val="22"/>
          <w:szCs w:val="20"/>
        </w:rPr>
      </w:pPr>
      <w:r w:rsidRPr="00D56A31">
        <w:rPr>
          <w:rFonts w:eastAsia="Arial" w:cs="Arial"/>
          <w:iCs w:val="0"/>
          <w:color w:val="auto"/>
          <w:sz w:val="22"/>
          <w:szCs w:val="20"/>
        </w:rPr>
        <w:t>In the event that a particular sport employs its own Team Doctor to care for athletes during the Paralympic Games in Paris then possible SRC cases need to be discussed with the APT CMO. This requirement is in recognition of the fact that all athletes on the APT come under Paralympics Australia jurisdiction for the duration of the Games.</w:t>
      </w:r>
    </w:p>
    <w:p w14:paraId="3CCE64FA" w14:textId="77777777" w:rsidR="00183873" w:rsidRPr="00183873" w:rsidRDefault="00183873" w:rsidP="00183873"/>
    <w:p w14:paraId="4E6F58BC" w14:textId="0F07FC76" w:rsidR="00310BB1" w:rsidRPr="00D56A31" w:rsidRDefault="009234DB" w:rsidP="00523F46">
      <w:pPr>
        <w:pStyle w:val="Heading3"/>
      </w:pPr>
      <w:r w:rsidRPr="00D56A31">
        <w:t>Conclusion</w:t>
      </w:r>
    </w:p>
    <w:p w14:paraId="6A180694" w14:textId="36CD5B1D" w:rsidR="00377B10" w:rsidRDefault="00D56A31" w:rsidP="00C07669">
      <w:pPr>
        <w:pStyle w:val="Heading3"/>
        <w:rPr>
          <w:rFonts w:eastAsia="Arial" w:cs="Arial"/>
          <w:iCs w:val="0"/>
          <w:color w:val="auto"/>
          <w:sz w:val="22"/>
          <w:szCs w:val="20"/>
        </w:rPr>
      </w:pPr>
      <w:r w:rsidRPr="00D56A31">
        <w:rPr>
          <w:rFonts w:eastAsia="Arial" w:cs="Arial"/>
          <w:iCs w:val="0"/>
          <w:color w:val="auto"/>
          <w:sz w:val="22"/>
          <w:szCs w:val="20"/>
        </w:rPr>
        <w:t>Paralympics Australia needs to be prepared for the occurrence of SRC among members of the APT at the Paris 2024 Paralympic Games. While management of concussion in Para-athletes needs to be individualized, and decisions made on a case-by-case basis regarding return to sport, this policy has been written to articulate the principles that will guide the assessment and management of SRC among APT members during the period of the Games.</w:t>
      </w:r>
    </w:p>
    <w:p w14:paraId="7F2D41D2" w14:textId="77777777" w:rsidR="00377B10" w:rsidRDefault="00377B10" w:rsidP="00377B10">
      <w:pPr>
        <w:pStyle w:val="BodyText"/>
      </w:pPr>
      <w:r>
        <w:br w:type="page"/>
      </w:r>
    </w:p>
    <w:p w14:paraId="497C89B9" w14:textId="7372B3F1" w:rsidR="00D56A31" w:rsidRPr="00D56A31" w:rsidRDefault="00D56A31" w:rsidP="00D56A31">
      <w:pPr>
        <w:pStyle w:val="Heading3"/>
      </w:pPr>
      <w:r w:rsidRPr="00D56A31">
        <w:lastRenderedPageBreak/>
        <w:t>References</w:t>
      </w:r>
    </w:p>
    <w:p w14:paraId="5E185719" w14:textId="77777777" w:rsidR="00B41AFE" w:rsidRPr="00B41AFE" w:rsidRDefault="00B41AFE" w:rsidP="00B41AFE">
      <w:pPr>
        <w:pStyle w:val="BodyText"/>
      </w:pPr>
      <w:r w:rsidRPr="00B41AFE">
        <w:t>Weiler R, Blauwet C, Clarke D et al. Concussion of para sport: the first position statement of the Concussion in Para Sport (CIPS) Group. Br J Sports Med 2021; 55: 1187-1195</w:t>
      </w:r>
    </w:p>
    <w:p w14:paraId="66D23AD0" w14:textId="77777777" w:rsidR="00B41AFE" w:rsidRPr="00B41AFE" w:rsidRDefault="00B41AFE" w:rsidP="00B41AFE">
      <w:pPr>
        <w:pStyle w:val="BodyText"/>
      </w:pPr>
      <w:r w:rsidRPr="00B41AFE">
        <w:t>AIS Concussion and Brain Health Position Statement 2023</w:t>
      </w:r>
    </w:p>
    <w:p w14:paraId="2A272A83" w14:textId="77777777" w:rsidR="00B41AFE" w:rsidRPr="00B41AFE" w:rsidRDefault="00B41AFE" w:rsidP="00B41AFE">
      <w:pPr>
        <w:pStyle w:val="BodyText"/>
      </w:pPr>
      <w:r w:rsidRPr="00B41AFE">
        <w:t xml:space="preserve">Patricios JS, Schneider KJ, Dvorak J, et al. Consensus statement on concussion in sport: the 6th International Conference on Concussion in Sport - Amsterdam, October 2022. Br J Sports Med 2023; 57: 695–711 </w:t>
      </w:r>
    </w:p>
    <w:p w14:paraId="3B969B1D" w14:textId="77777777" w:rsidR="00B41AFE" w:rsidRPr="00B41AFE" w:rsidRDefault="00B41AFE" w:rsidP="00B41AFE">
      <w:pPr>
        <w:pStyle w:val="BodyText"/>
      </w:pPr>
      <w:r w:rsidRPr="00B41AFE">
        <w:t>Echemendia RJ et al.  Sport Concussion Assessment Tool 6 (SCAT6). British Journal of Sports Medicine 2023; 57: 622-631</w:t>
      </w:r>
    </w:p>
    <w:p w14:paraId="230CA54A" w14:textId="1A220C52" w:rsidR="00D56A31" w:rsidRDefault="00B41AFE" w:rsidP="00B41AFE">
      <w:pPr>
        <w:pStyle w:val="BodyText"/>
      </w:pPr>
      <w:r w:rsidRPr="00B41AFE">
        <w:t>Echemendia RJ, et al. CRT6. Concussion recognition tool to help identify concussion in children, adolescents and adults. Br J Sports Med June 2023; 57: 692-693</w:t>
      </w:r>
    </w:p>
    <w:p w14:paraId="2D595A4A" w14:textId="57E98C51" w:rsidR="00377B10" w:rsidRDefault="00377B10">
      <w:pPr>
        <w:spacing w:line="240" w:lineRule="auto"/>
        <w:rPr>
          <w:rFonts w:ascii="Verdana" w:hAnsi="Verdana" w:cs="Arial"/>
          <w:color w:val="auto"/>
          <w:szCs w:val="20"/>
        </w:rPr>
      </w:pPr>
      <w:r>
        <w:br w:type="page"/>
      </w:r>
    </w:p>
    <w:p w14:paraId="35B8EB8C" w14:textId="4BE17B94" w:rsidR="00377B10" w:rsidRPr="00D56A31" w:rsidRDefault="00377B10" w:rsidP="00377B10">
      <w:pPr>
        <w:pStyle w:val="TableHeading"/>
      </w:pPr>
      <w:r>
        <w:lastRenderedPageBreak/>
        <w:t>Appendix 1: Concussion Recognition Tool 6 (</w:t>
      </w:r>
      <w:r w:rsidR="00B13D15">
        <w:t>E</w:t>
      </w:r>
      <w:r>
        <w:t>chemendia e</w:t>
      </w:r>
      <w:r w:rsidR="00B13D15">
        <w:t>t al, 2023)</w:t>
      </w:r>
    </w:p>
    <w:p w14:paraId="6E8A44C1" w14:textId="65C85C16" w:rsidR="00D56A31" w:rsidRDefault="00064F5D" w:rsidP="00EF6E6B">
      <w:pPr>
        <w:pStyle w:val="BodyText"/>
        <w:jc w:val="center"/>
      </w:pPr>
      <w:r>
        <w:rPr>
          <w:noProof/>
        </w:rPr>
        <w:drawing>
          <wp:inline distT="0" distB="0" distL="0" distR="0" wp14:anchorId="52819DBE" wp14:editId="0DED0771">
            <wp:extent cx="8371609" cy="6389957"/>
            <wp:effectExtent l="318" t="0" r="0" b="0"/>
            <wp:docPr id="1260852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852127" name=""/>
                    <pic:cNvPicPr/>
                  </pic:nvPicPr>
                  <pic:blipFill>
                    <a:blip r:embed="rId12"/>
                    <a:stretch>
                      <a:fillRect/>
                    </a:stretch>
                  </pic:blipFill>
                  <pic:spPr>
                    <a:xfrm rot="16200000">
                      <a:off x="0" y="0"/>
                      <a:ext cx="8387637" cy="6402191"/>
                    </a:xfrm>
                    <a:prstGeom prst="rect">
                      <a:avLst/>
                    </a:prstGeom>
                  </pic:spPr>
                </pic:pic>
              </a:graphicData>
            </a:graphic>
          </wp:inline>
        </w:drawing>
      </w:r>
    </w:p>
    <w:p w14:paraId="03A069EA" w14:textId="46DA75FA" w:rsidR="00675E3C" w:rsidRPr="00D56A31" w:rsidRDefault="00EF6E6B" w:rsidP="00B41AFE">
      <w:pPr>
        <w:pStyle w:val="BodyText"/>
      </w:pPr>
      <w:r w:rsidRPr="00EF6E6B">
        <w:rPr>
          <w:noProof/>
        </w:rPr>
        <w:lastRenderedPageBreak/>
        <w:drawing>
          <wp:anchor distT="0" distB="0" distL="114300" distR="114300" simplePos="0" relativeHeight="251658240" behindDoc="0" locked="0" layoutInCell="1" allowOverlap="1" wp14:anchorId="45ECCB5E" wp14:editId="3F3F712B">
            <wp:simplePos x="-281940" y="1927860"/>
            <wp:positionH relativeFrom="margin">
              <wp:align>center</wp:align>
            </wp:positionH>
            <wp:positionV relativeFrom="margin">
              <wp:align>center</wp:align>
            </wp:positionV>
            <wp:extent cx="8432165" cy="6397625"/>
            <wp:effectExtent l="7620" t="0" r="0" b="0"/>
            <wp:wrapSquare wrapText="bothSides"/>
            <wp:docPr id="207378613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86130" name="Picture 1" descr="A screenshot of a document&#10;&#10;Description automatically generated"/>
                    <pic:cNvPicPr/>
                  </pic:nvPicPr>
                  <pic:blipFill>
                    <a:blip r:embed="rId13"/>
                    <a:stretch>
                      <a:fillRect/>
                    </a:stretch>
                  </pic:blipFill>
                  <pic:spPr>
                    <a:xfrm rot="16200000">
                      <a:off x="0" y="0"/>
                      <a:ext cx="8432165" cy="6397625"/>
                    </a:xfrm>
                    <a:prstGeom prst="rect">
                      <a:avLst/>
                    </a:prstGeom>
                  </pic:spPr>
                </pic:pic>
              </a:graphicData>
            </a:graphic>
          </wp:anchor>
        </w:drawing>
      </w:r>
    </w:p>
    <w:sectPr w:rsidR="00675E3C" w:rsidRPr="00D56A31" w:rsidSect="00244306">
      <w:headerReference w:type="default" r:id="rId14"/>
      <w:footerReference w:type="even" r:id="rId15"/>
      <w:footerReference w:type="default" r:id="rId16"/>
      <w:headerReference w:type="first" r:id="rId17"/>
      <w:footerReference w:type="first" r:id="rId18"/>
      <w:pgSz w:w="11900" w:h="16840" w:code="9"/>
      <w:pgMar w:top="1440" w:right="1134" w:bottom="1701" w:left="1134" w:header="425"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5AC3A" w14:textId="77777777" w:rsidR="00DB4D38" w:rsidRDefault="00DB4D38" w:rsidP="00D41211">
      <w:r>
        <w:separator/>
      </w:r>
    </w:p>
  </w:endnote>
  <w:endnote w:type="continuationSeparator" w:id="0">
    <w:p w14:paraId="301F87CE" w14:textId="77777777" w:rsidR="00DB4D38" w:rsidRDefault="00DB4D38" w:rsidP="00D41211">
      <w:r>
        <w:continuationSeparator/>
      </w:r>
    </w:p>
  </w:endnote>
  <w:endnote w:type="continuationNotice" w:id="1">
    <w:p w14:paraId="3CC7F7EC" w14:textId="77777777" w:rsidR="00DB4D38" w:rsidRDefault="00DB4D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bson">
    <w:altName w:val="Courier New"/>
    <w:panose1 w:val="00000000000000000000"/>
    <w:charset w:val="4D"/>
    <w:family w:val="auto"/>
    <w:notTrueType/>
    <w:pitch w:val="variable"/>
    <w:sig w:usb0="A000002F" w:usb1="5000004A" w:usb2="00000000" w:usb3="00000000" w:csb0="00000093" w:csb1="00000000"/>
  </w:font>
  <w:font w:name="Pact Light">
    <w:altName w:val="Calibri"/>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4D"/>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72020072"/>
      <w:docPartObj>
        <w:docPartGallery w:val="Page Numbers (Bottom of Page)"/>
        <w:docPartUnique/>
      </w:docPartObj>
    </w:sdtPr>
    <w:sdtContent>
      <w:p w14:paraId="3959A50B" w14:textId="77777777" w:rsidR="007718EC" w:rsidRDefault="007718EC" w:rsidP="0056509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23CBD">
          <w:rPr>
            <w:rStyle w:val="PageNumber"/>
            <w:noProof/>
          </w:rPr>
          <w:t>3</w:t>
        </w:r>
        <w:r>
          <w:rPr>
            <w:rStyle w:val="PageNumber"/>
          </w:rPr>
          <w:fldChar w:fldCharType="end"/>
        </w:r>
      </w:p>
    </w:sdtContent>
  </w:sdt>
  <w:p w14:paraId="3F1D5C01" w14:textId="77777777" w:rsidR="007718EC" w:rsidRDefault="007718EC" w:rsidP="005650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3254B" w14:textId="4A852F57" w:rsidR="007718EC" w:rsidRPr="00765AFB" w:rsidRDefault="006D7BEB" w:rsidP="007A27CC">
    <w:pPr>
      <w:pStyle w:val="Footer"/>
      <w:ind w:right="-7"/>
      <w:rPr>
        <w:rStyle w:val="PageNumber"/>
        <w:sz w:val="20"/>
        <w:szCs w:val="18"/>
      </w:rPr>
    </w:pPr>
    <w:r w:rsidRPr="00F80DFA">
      <w:rPr>
        <w:rStyle w:val="PageNumber"/>
        <w:noProof/>
        <w:sz w:val="20"/>
        <w:szCs w:val="18"/>
      </w:rPr>
      <w:drawing>
        <wp:anchor distT="0" distB="0" distL="114300" distR="114300" simplePos="0" relativeHeight="251658243" behindDoc="0" locked="0" layoutInCell="1" allowOverlap="1" wp14:anchorId="573ED614" wp14:editId="20A7A724">
          <wp:simplePos x="0" y="0"/>
          <wp:positionH relativeFrom="column">
            <wp:posOffset>-520065</wp:posOffset>
          </wp:positionH>
          <wp:positionV relativeFrom="paragraph">
            <wp:posOffset>-133350</wp:posOffset>
          </wp:positionV>
          <wp:extent cx="562708" cy="675250"/>
          <wp:effectExtent l="0" t="0" r="0" b="0"/>
          <wp:wrapNone/>
          <wp:docPr id="1240842517" name="Picture 1240842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42517" name="Picture 1240842517">
                    <a:extLst>
                      <a:ext uri="{C183D7F6-B498-43B3-948B-1728B52AA6E4}">
                        <adec:decorative xmlns:adec="http://schemas.microsoft.com/office/drawing/2017/decorative" val="1"/>
                      </a:ext>
                    </a:extLst>
                  </pic:cNvPr>
                  <pic:cNvPicPr/>
                </pic:nvPicPr>
                <pic:blipFill>
                  <a:blip r:embed="rId1"/>
                  <a:stretch>
                    <a:fillRect/>
                  </a:stretch>
                </pic:blipFill>
                <pic:spPr>
                  <a:xfrm>
                    <a:off x="0" y="0"/>
                    <a:ext cx="562708" cy="675250"/>
                  </a:xfrm>
                  <a:prstGeom prst="rect">
                    <a:avLst/>
                  </a:prstGeom>
                </pic:spPr>
              </pic:pic>
            </a:graphicData>
          </a:graphic>
          <wp14:sizeRelH relativeFrom="page">
            <wp14:pctWidth>0</wp14:pctWidth>
          </wp14:sizeRelH>
          <wp14:sizeRelV relativeFrom="page">
            <wp14:pctHeight>0</wp14:pctHeight>
          </wp14:sizeRelV>
        </wp:anchor>
      </w:drawing>
    </w:r>
    <w:r w:rsidR="00E6564B">
      <w:rPr>
        <w:rStyle w:val="PageNumber"/>
        <w:sz w:val="20"/>
        <w:szCs w:val="18"/>
      </w:rPr>
      <w:t>Concussion Management</w:t>
    </w:r>
    <w:r>
      <w:rPr>
        <w:rStyle w:val="PageNumber"/>
        <w:szCs w:val="14"/>
      </w:rPr>
      <w:tab/>
    </w:r>
    <w:r>
      <w:rPr>
        <w:rStyle w:val="PageNumber"/>
        <w:szCs w:val="14"/>
      </w:rPr>
      <w:tab/>
    </w:r>
    <w:r>
      <w:rPr>
        <w:rStyle w:val="PageNumber"/>
        <w:szCs w:val="14"/>
      </w:rPr>
      <w:tab/>
    </w:r>
    <w:r>
      <w:rPr>
        <w:rStyle w:val="PageNumber"/>
        <w:szCs w:val="14"/>
      </w:rPr>
      <w:tab/>
    </w:r>
    <w:r>
      <w:rPr>
        <w:rStyle w:val="PageNumber"/>
        <w:szCs w:val="14"/>
      </w:rPr>
      <w:tab/>
    </w:r>
    <w:sdt>
      <w:sdtPr>
        <w:rPr>
          <w:rStyle w:val="PageNumber"/>
        </w:rPr>
        <w:id w:val="2079707935"/>
        <w:docPartObj>
          <w:docPartGallery w:val="Page Numbers (Bottom of Page)"/>
          <w:docPartUnique/>
        </w:docPartObj>
      </w:sdtPr>
      <w:sdtEndPr>
        <w:rPr>
          <w:rStyle w:val="PageNumber"/>
          <w:b/>
          <w:bCs/>
        </w:rPr>
      </w:sdtEndPr>
      <w:sdtContent>
        <w:r w:rsidR="007718EC" w:rsidRPr="00925EA8">
          <w:rPr>
            <w:rStyle w:val="PageNumber"/>
            <w:b/>
            <w:bCs/>
          </w:rPr>
          <w:fldChar w:fldCharType="begin"/>
        </w:r>
        <w:r w:rsidR="007718EC" w:rsidRPr="00925EA8">
          <w:rPr>
            <w:rStyle w:val="PageNumber"/>
            <w:b/>
            <w:bCs/>
          </w:rPr>
          <w:instrText xml:space="preserve"> PAGE </w:instrText>
        </w:r>
        <w:r w:rsidR="007718EC" w:rsidRPr="00925EA8">
          <w:rPr>
            <w:rStyle w:val="PageNumber"/>
            <w:b/>
            <w:bCs/>
          </w:rPr>
          <w:fldChar w:fldCharType="separate"/>
        </w:r>
        <w:r w:rsidR="007718EC" w:rsidRPr="00925EA8">
          <w:rPr>
            <w:rStyle w:val="PageNumber"/>
            <w:b/>
            <w:bCs/>
          </w:rPr>
          <w:t>2</w:t>
        </w:r>
        <w:r w:rsidR="007718EC" w:rsidRPr="00925EA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64235" w14:textId="77777777" w:rsidR="007718EC" w:rsidRPr="00FB3942" w:rsidRDefault="00FB3942" w:rsidP="00565095">
    <w:pPr>
      <w:pStyle w:val="Footer"/>
      <w:rPr>
        <w:rFonts w:ascii="Pact Light" w:hAnsi="Pact Light"/>
        <w:szCs w:val="16"/>
      </w:rPr>
    </w:pPr>
    <w:r>
      <w:rPr>
        <w:noProof/>
      </w:rPr>
      <mc:AlternateContent>
        <mc:Choice Requires="wps">
          <w:drawing>
            <wp:anchor distT="0" distB="0" distL="114300" distR="114300" simplePos="0" relativeHeight="251658240" behindDoc="0" locked="0" layoutInCell="1" allowOverlap="1" wp14:anchorId="788C5284" wp14:editId="3A4691B5">
              <wp:simplePos x="0" y="0"/>
              <wp:positionH relativeFrom="column">
                <wp:posOffset>-1010285</wp:posOffset>
              </wp:positionH>
              <wp:positionV relativeFrom="paragraph">
                <wp:posOffset>-463598</wp:posOffset>
              </wp:positionV>
              <wp:extent cx="1828800" cy="1828800"/>
              <wp:effectExtent l="0" t="0" r="0" b="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704 0500  E: info@paralympic.org,au   paralympic.org.au</w:t>
                          </w:r>
                          <w:r w:rsidR="00BE3A8B" w:rsidRPr="00565095">
                            <w:br/>
                            <w:t>Paralympics Australia Limited ABN 41 810 234 213</w:t>
                          </w:r>
                        </w:p>
                        <w:p w14:paraId="6F593ACE" w14:textId="77777777" w:rsidR="00FB3942" w:rsidRPr="00565095" w:rsidRDefault="00FB3942" w:rsidP="00565095">
                          <w:pPr>
                            <w:pStyle w:val="Foo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88C5284" id="_x0000_t202" coordsize="21600,21600" o:spt="202" path="m,l,21600r21600,l21600,xe">
              <v:stroke joinstyle="miter"/>
              <v:path gradientshapeok="t" o:connecttype="rect"/>
            </v:shapetype>
            <v:shape id="Text Box 29" o:spid="_x0000_s1026" type="#_x0000_t202" alt="&quot;&quot;" style="position:absolute;left:0;text-align:left;margin-left:-79.55pt;margin-top:-36.5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" filled="f" stroked="f" strokeweight=".5pt">
              <v:textbox style="mso-fit-shape-to-text:t">
                <w:txbxContent>
                  <w:p w14:paraId="40509B0E" w14:textId="77777777" w:rsidR="00FB3942" w:rsidRPr="00565095" w:rsidRDefault="00FB3942" w:rsidP="00565095">
                    <w:pPr>
                      <w:pStyle w:val="Footer"/>
                    </w:pPr>
                    <w:r w:rsidRPr="00565095">
                      <w:t xml:space="preserve">Address: Building A, </w:t>
                    </w:r>
                    <w:r w:rsidR="000853D9" w:rsidRPr="00565095">
                      <w:t xml:space="preserve">1 </w:t>
                    </w:r>
                    <w:r w:rsidRPr="00565095">
                      <w:t>Herb Elliot Avenue, Sydney Olympic Park, NSW 2127, Australia</w:t>
                    </w:r>
                    <w:r w:rsidRPr="00565095">
                      <w:br/>
                      <w:t>Postal Address: PO Box 596, Sydney Markets, NSW 2129, Australia</w:t>
                    </w:r>
                    <w:r w:rsidRPr="00565095">
                      <w:br/>
                      <w:t>P: +61 2 9</w:t>
                    </w:r>
                    <w:r w:rsidR="00BE3A8B" w:rsidRPr="00565095">
                      <w:t xml:space="preserve">704 0500  E: </w:t>
                    </w:r>
                    <w:proofErr w:type="spellStart"/>
                    <w:r w:rsidR="00BE3A8B" w:rsidRPr="00565095">
                      <w:t>info@paralympic.org,au</w:t>
                    </w:r>
                    <w:proofErr w:type="spellEnd"/>
                    <w:r w:rsidR="00BE3A8B" w:rsidRPr="00565095">
                      <w:t xml:space="preserve">   paralympic.org.au</w:t>
                    </w:r>
                    <w:r w:rsidR="00BE3A8B" w:rsidRPr="00565095">
                      <w:br/>
                      <w:t>Paralympics Australia Limited ABN 41 810 234 213</w:t>
                    </w:r>
                  </w:p>
                  <w:p w14:paraId="6F593ACE" w14:textId="77777777" w:rsidR="00FB3942" w:rsidRPr="00565095" w:rsidRDefault="00FB3942" w:rsidP="00565095">
                    <w:pPr>
                      <w:pStyle w:val="Foote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9B50A" w14:textId="77777777" w:rsidR="00DB4D38" w:rsidRDefault="00DB4D38" w:rsidP="00D41211">
      <w:r>
        <w:separator/>
      </w:r>
    </w:p>
  </w:footnote>
  <w:footnote w:type="continuationSeparator" w:id="0">
    <w:p w14:paraId="01E731BC" w14:textId="77777777" w:rsidR="00DB4D38" w:rsidRDefault="00DB4D38" w:rsidP="00D41211">
      <w:r>
        <w:continuationSeparator/>
      </w:r>
    </w:p>
  </w:footnote>
  <w:footnote w:type="continuationNotice" w:id="1">
    <w:p w14:paraId="449F72D3" w14:textId="77777777" w:rsidR="00DB4D38" w:rsidRDefault="00DB4D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91883" w14:textId="77777777" w:rsidR="00925EA8" w:rsidRDefault="00B776EA">
    <w:pPr>
      <w:pStyle w:val="Header"/>
    </w:pPr>
    <w:r w:rsidRPr="00B776EA">
      <w:rPr>
        <w:noProof/>
      </w:rPr>
      <w:drawing>
        <wp:anchor distT="0" distB="0" distL="114300" distR="114300" simplePos="0" relativeHeight="251658241" behindDoc="0" locked="0" layoutInCell="1" allowOverlap="1" wp14:anchorId="297F7101" wp14:editId="191F0CE8">
          <wp:simplePos x="0" y="0"/>
          <wp:positionH relativeFrom="column">
            <wp:posOffset>3544961</wp:posOffset>
          </wp:positionH>
          <wp:positionV relativeFrom="paragraph">
            <wp:posOffset>-2166913</wp:posOffset>
          </wp:positionV>
          <wp:extent cx="5727700" cy="5341620"/>
          <wp:effectExtent l="0" t="127000" r="279400" b="106680"/>
          <wp:wrapNone/>
          <wp:docPr id="1934787449" name="Picture 1934787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87449" name="Picture 1934787449">
                    <a:extLst>
                      <a:ext uri="{C183D7F6-B498-43B3-948B-1728B52AA6E4}">
                        <adec:decorative xmlns:adec="http://schemas.microsoft.com/office/drawing/2017/decorative" val="1"/>
                      </a:ext>
                    </a:extLst>
                  </pic:cNvPr>
                  <pic:cNvPicPr/>
                </pic:nvPicPr>
                <pic:blipFill>
                  <a:blip r:embed="rId1"/>
                  <a:stretch>
                    <a:fillRect/>
                  </a:stretch>
                </pic:blipFill>
                <pic:spPr>
                  <a:xfrm rot="1085142">
                    <a:off x="0" y="0"/>
                    <a:ext cx="5727700" cy="5341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9A6D3" w14:textId="77777777" w:rsidR="00862933" w:rsidRDefault="00832128">
    <w:pPr>
      <w:pStyle w:val="Header"/>
    </w:pPr>
    <w:r w:rsidRPr="00DC0D45">
      <w:rPr>
        <w:noProof/>
        <w:lang w:val="en-US"/>
      </w:rPr>
      <w:drawing>
        <wp:anchor distT="0" distB="0" distL="114300" distR="114300" simplePos="0" relativeHeight="251658242" behindDoc="1" locked="0" layoutInCell="1" allowOverlap="1" wp14:anchorId="5AC3DCCE" wp14:editId="26FAA4AD">
          <wp:simplePos x="0" y="0"/>
          <wp:positionH relativeFrom="margin">
            <wp:posOffset>-1200150</wp:posOffset>
          </wp:positionH>
          <wp:positionV relativeFrom="paragraph">
            <wp:posOffset>-495935</wp:posOffset>
          </wp:positionV>
          <wp:extent cx="7654925" cy="713867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654925" cy="71386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597277"/>
    <w:multiLevelType w:val="hybridMultilevel"/>
    <w:tmpl w:val="BC301758"/>
    <w:lvl w:ilvl="0" w:tplc="EE640CF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D0035A"/>
    <w:multiLevelType w:val="hybridMultilevel"/>
    <w:tmpl w:val="8246476C"/>
    <w:lvl w:ilvl="0" w:tplc="82CA1B96">
      <w:start w:val="1"/>
      <w:numFmt w:val="bullet"/>
      <w:pStyle w:val="Bullet1"/>
      <w:lvlText w:val=""/>
      <w:lvlJc w:val="left"/>
      <w:pPr>
        <w:ind w:left="720" w:hanging="360"/>
      </w:pPr>
      <w:rPr>
        <w:rFonts w:ascii="Symbol" w:hAnsi="Symbol" w:hint="default"/>
        <w:color w:val="00707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A1152C"/>
    <w:multiLevelType w:val="hybridMultilevel"/>
    <w:tmpl w:val="4B50A4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D9B52D8"/>
    <w:multiLevelType w:val="hybridMultilevel"/>
    <w:tmpl w:val="F6443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E14FB"/>
    <w:multiLevelType w:val="hybridMultilevel"/>
    <w:tmpl w:val="B9707C96"/>
    <w:lvl w:ilvl="0" w:tplc="FFDA1616">
      <w:start w:val="1"/>
      <w:numFmt w:val="bullet"/>
      <w:lvlText w:val=""/>
      <w:lvlJc w:val="left"/>
      <w:pPr>
        <w:tabs>
          <w:tab w:val="num" w:pos="283"/>
        </w:tabs>
        <w:ind w:left="283" w:hanging="283"/>
      </w:pPr>
      <w:rPr>
        <w:rFonts w:ascii="Symbol" w:hAnsi="Symbol" w:hint="default"/>
        <w:b w:val="0"/>
        <w:i w:val="0"/>
        <w:color w:val="auto"/>
        <w:sz w:val="2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3A6B4FB6"/>
    <w:multiLevelType w:val="multilevel"/>
    <w:tmpl w:val="1F8CC84E"/>
    <w:lvl w:ilvl="0">
      <w:start w:val="1"/>
      <w:numFmt w:val="decimal"/>
      <w:pStyle w:val="ListNumber"/>
      <w:lvlText w:val="%1."/>
      <w:lvlJc w:val="left"/>
      <w:pPr>
        <w:ind w:left="360" w:hanging="360"/>
      </w:pPr>
      <w:rPr>
        <w:color w:val="00454D" w:themeColor="accent1"/>
      </w:r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DAB5CB5"/>
    <w:multiLevelType w:val="hybridMultilevel"/>
    <w:tmpl w:val="AA808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1516086"/>
    <w:multiLevelType w:val="hybridMultilevel"/>
    <w:tmpl w:val="A12CBB64"/>
    <w:lvl w:ilvl="0" w:tplc="10FAAF62">
      <w:numFmt w:val="bullet"/>
      <w:lvlText w:val=""/>
      <w:lvlJc w:val="left"/>
      <w:pPr>
        <w:ind w:left="720" w:hanging="360"/>
      </w:pPr>
      <w:rPr>
        <w:rFonts w:ascii="Symbol" w:eastAsiaTheme="minorHAnsi" w:hAnsi="Symbol" w:cstheme="minorBidi" w:hint="default"/>
      </w:rPr>
    </w:lvl>
    <w:lvl w:ilvl="1" w:tplc="6EC27D26">
      <w:start w:val="1"/>
      <w:numFmt w:val="bullet"/>
      <w:pStyle w:val="Bullet2"/>
      <w:lvlText w:val="o"/>
      <w:lvlJc w:val="left"/>
      <w:pPr>
        <w:ind w:left="1440" w:hanging="360"/>
      </w:pPr>
      <w:rPr>
        <w:rFonts w:ascii="Courier New" w:hAnsi="Courier New" w:cs="Courier New" w:hint="default"/>
      </w:rPr>
    </w:lvl>
    <w:lvl w:ilvl="2" w:tplc="11A2F35E">
      <w:start w:val="1"/>
      <w:numFmt w:val="bullet"/>
      <w:pStyle w:val="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883D19"/>
    <w:multiLevelType w:val="hybridMultilevel"/>
    <w:tmpl w:val="299E0382"/>
    <w:lvl w:ilvl="0" w:tplc="011A96B2">
      <w:start w:val="1"/>
      <w:numFmt w:val="bullet"/>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B04656"/>
    <w:multiLevelType w:val="hybridMultilevel"/>
    <w:tmpl w:val="DF22A86A"/>
    <w:lvl w:ilvl="0" w:tplc="6770A0B6">
      <w:start w:val="1"/>
      <w:numFmt w:val="bullet"/>
      <w:lvlText w:val=""/>
      <w:lvlJc w:val="left"/>
      <w:pPr>
        <w:ind w:left="3600" w:hanging="360"/>
      </w:pPr>
      <w:rPr>
        <w:rFonts w:ascii="Symbol" w:hAnsi="Symbol" w:hint="default"/>
        <w:color w:val="00454D" w:themeColor="accent1"/>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0" w15:restartNumberingAfterBreak="0">
    <w:nsid w:val="5E2E6370"/>
    <w:multiLevelType w:val="hybridMultilevel"/>
    <w:tmpl w:val="EA4022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E46474"/>
    <w:multiLevelType w:val="hybridMultilevel"/>
    <w:tmpl w:val="E3666924"/>
    <w:lvl w:ilvl="0" w:tplc="FCAA9648">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14366"/>
    <w:multiLevelType w:val="hybridMultilevel"/>
    <w:tmpl w:val="D25A6C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EC2594B"/>
    <w:multiLevelType w:val="hybridMultilevel"/>
    <w:tmpl w:val="7C8EE740"/>
    <w:lvl w:ilvl="0" w:tplc="1E7009B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492554"/>
    <w:multiLevelType w:val="hybridMultilevel"/>
    <w:tmpl w:val="F8BCDCA8"/>
    <w:lvl w:ilvl="0" w:tplc="A6C0C0A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71314336">
    <w:abstractNumId w:val="8"/>
  </w:num>
  <w:num w:numId="2" w16cid:durableId="1460033338">
    <w:abstractNumId w:val="11"/>
  </w:num>
  <w:num w:numId="3" w16cid:durableId="210922756">
    <w:abstractNumId w:val="9"/>
  </w:num>
  <w:num w:numId="4" w16cid:durableId="2049602262">
    <w:abstractNumId w:val="4"/>
  </w:num>
  <w:num w:numId="5" w16cid:durableId="34693679">
    <w:abstractNumId w:val="5"/>
  </w:num>
  <w:num w:numId="6" w16cid:durableId="1679768482">
    <w:abstractNumId w:val="14"/>
  </w:num>
  <w:num w:numId="7" w16cid:durableId="1713993149">
    <w:abstractNumId w:val="7"/>
  </w:num>
  <w:num w:numId="8" w16cid:durableId="888223984">
    <w:abstractNumId w:val="1"/>
  </w:num>
  <w:num w:numId="9" w16cid:durableId="1223296302">
    <w:abstractNumId w:val="13"/>
  </w:num>
  <w:num w:numId="10" w16cid:durableId="1710031064">
    <w:abstractNumId w:val="2"/>
  </w:num>
  <w:num w:numId="11" w16cid:durableId="280192723">
    <w:abstractNumId w:val="6"/>
  </w:num>
  <w:num w:numId="12" w16cid:durableId="1782728142">
    <w:abstractNumId w:val="3"/>
  </w:num>
  <w:num w:numId="13" w16cid:durableId="3169671">
    <w:abstractNumId w:val="10"/>
  </w:num>
  <w:num w:numId="14" w16cid:durableId="1685939852">
    <w:abstractNumId w:val="0"/>
  </w:num>
  <w:num w:numId="15" w16cid:durableId="1167020086">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P13p4zNPcEnzY4PN8hi1Dr+KQifRqBUkr0mpb7rDHUiO9TDUt13U5kZB8Wwt9dMGewyUd1hc+LyqxBuInojag==" w:salt="FblvsJyj4ALEmKBZLz2MGA=="/>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ADE"/>
    <w:rsid w:val="00015794"/>
    <w:rsid w:val="00016182"/>
    <w:rsid w:val="0002009F"/>
    <w:rsid w:val="000339FA"/>
    <w:rsid w:val="00035AD9"/>
    <w:rsid w:val="000506EE"/>
    <w:rsid w:val="00061D51"/>
    <w:rsid w:val="00064F5D"/>
    <w:rsid w:val="0007081D"/>
    <w:rsid w:val="000853D9"/>
    <w:rsid w:val="000A1019"/>
    <w:rsid w:val="000A69B9"/>
    <w:rsid w:val="000B1CB9"/>
    <w:rsid w:val="000B2B13"/>
    <w:rsid w:val="00102E54"/>
    <w:rsid w:val="0010445F"/>
    <w:rsid w:val="00113F9E"/>
    <w:rsid w:val="00115D73"/>
    <w:rsid w:val="0012255E"/>
    <w:rsid w:val="00125EB3"/>
    <w:rsid w:val="00126B0E"/>
    <w:rsid w:val="00127199"/>
    <w:rsid w:val="001309FF"/>
    <w:rsid w:val="001379B7"/>
    <w:rsid w:val="001417FF"/>
    <w:rsid w:val="001655FB"/>
    <w:rsid w:val="001710A7"/>
    <w:rsid w:val="0017309E"/>
    <w:rsid w:val="001803DB"/>
    <w:rsid w:val="00183873"/>
    <w:rsid w:val="001A6990"/>
    <w:rsid w:val="001A6B1F"/>
    <w:rsid w:val="001B338B"/>
    <w:rsid w:val="001B4C4E"/>
    <w:rsid w:val="001C0C34"/>
    <w:rsid w:val="001C274C"/>
    <w:rsid w:val="001C3761"/>
    <w:rsid w:val="001D0E4C"/>
    <w:rsid w:val="002025B9"/>
    <w:rsid w:val="0020481B"/>
    <w:rsid w:val="002050E2"/>
    <w:rsid w:val="00213ADE"/>
    <w:rsid w:val="00216E94"/>
    <w:rsid w:val="00223CBD"/>
    <w:rsid w:val="0024374E"/>
    <w:rsid w:val="00244306"/>
    <w:rsid w:val="0024613F"/>
    <w:rsid w:val="00282F4F"/>
    <w:rsid w:val="002D6CCC"/>
    <w:rsid w:val="002F0031"/>
    <w:rsid w:val="00310BB1"/>
    <w:rsid w:val="00322496"/>
    <w:rsid w:val="00353B45"/>
    <w:rsid w:val="00356FF8"/>
    <w:rsid w:val="00363A1D"/>
    <w:rsid w:val="00367FD9"/>
    <w:rsid w:val="003709C5"/>
    <w:rsid w:val="00376924"/>
    <w:rsid w:val="003775E4"/>
    <w:rsid w:val="00377B10"/>
    <w:rsid w:val="003D7A95"/>
    <w:rsid w:val="003E1D3E"/>
    <w:rsid w:val="003E25C9"/>
    <w:rsid w:val="00404D77"/>
    <w:rsid w:val="0040766E"/>
    <w:rsid w:val="0041092E"/>
    <w:rsid w:val="004244A5"/>
    <w:rsid w:val="004560F3"/>
    <w:rsid w:val="0048494C"/>
    <w:rsid w:val="004942DC"/>
    <w:rsid w:val="004A3BF9"/>
    <w:rsid w:val="004B069A"/>
    <w:rsid w:val="004B2B3B"/>
    <w:rsid w:val="004D31FC"/>
    <w:rsid w:val="004E0111"/>
    <w:rsid w:val="004E7F1E"/>
    <w:rsid w:val="00523F46"/>
    <w:rsid w:val="00524C2C"/>
    <w:rsid w:val="00540B58"/>
    <w:rsid w:val="005510FC"/>
    <w:rsid w:val="00552AC1"/>
    <w:rsid w:val="00553A62"/>
    <w:rsid w:val="00565095"/>
    <w:rsid w:val="00580F87"/>
    <w:rsid w:val="005833C1"/>
    <w:rsid w:val="005834C0"/>
    <w:rsid w:val="00585AB9"/>
    <w:rsid w:val="005C2D09"/>
    <w:rsid w:val="005C5D1E"/>
    <w:rsid w:val="005D65D3"/>
    <w:rsid w:val="005F0FF1"/>
    <w:rsid w:val="005F2B9A"/>
    <w:rsid w:val="005F46C1"/>
    <w:rsid w:val="00612F7B"/>
    <w:rsid w:val="006251FC"/>
    <w:rsid w:val="00645BC9"/>
    <w:rsid w:val="00653107"/>
    <w:rsid w:val="00664EB4"/>
    <w:rsid w:val="00665B33"/>
    <w:rsid w:val="006709A3"/>
    <w:rsid w:val="00674DE0"/>
    <w:rsid w:val="00675E3C"/>
    <w:rsid w:val="00675E8A"/>
    <w:rsid w:val="00690EDE"/>
    <w:rsid w:val="006942EA"/>
    <w:rsid w:val="00695F54"/>
    <w:rsid w:val="006C532F"/>
    <w:rsid w:val="006D7BEB"/>
    <w:rsid w:val="006D7EA8"/>
    <w:rsid w:val="006E4D11"/>
    <w:rsid w:val="006F536B"/>
    <w:rsid w:val="00721D6E"/>
    <w:rsid w:val="007262EA"/>
    <w:rsid w:val="0075293D"/>
    <w:rsid w:val="00765AFB"/>
    <w:rsid w:val="007718EC"/>
    <w:rsid w:val="0077236B"/>
    <w:rsid w:val="00774CC1"/>
    <w:rsid w:val="00775180"/>
    <w:rsid w:val="00776BD0"/>
    <w:rsid w:val="007925D0"/>
    <w:rsid w:val="007A27CC"/>
    <w:rsid w:val="007C2402"/>
    <w:rsid w:val="007E0961"/>
    <w:rsid w:val="007E1F12"/>
    <w:rsid w:val="007E4B5F"/>
    <w:rsid w:val="00814D66"/>
    <w:rsid w:val="0081602B"/>
    <w:rsid w:val="00820F3A"/>
    <w:rsid w:val="008233FB"/>
    <w:rsid w:val="008248AB"/>
    <w:rsid w:val="00825511"/>
    <w:rsid w:val="00832128"/>
    <w:rsid w:val="0083631F"/>
    <w:rsid w:val="00840577"/>
    <w:rsid w:val="00851E24"/>
    <w:rsid w:val="00852E36"/>
    <w:rsid w:val="00860ACE"/>
    <w:rsid w:val="00862933"/>
    <w:rsid w:val="00880789"/>
    <w:rsid w:val="00880E11"/>
    <w:rsid w:val="00881081"/>
    <w:rsid w:val="0088663F"/>
    <w:rsid w:val="008A3B3E"/>
    <w:rsid w:val="008B1CA4"/>
    <w:rsid w:val="008B3931"/>
    <w:rsid w:val="008C2F6D"/>
    <w:rsid w:val="008D06EC"/>
    <w:rsid w:val="008D2060"/>
    <w:rsid w:val="008D76C4"/>
    <w:rsid w:val="008E04FB"/>
    <w:rsid w:val="008E2E6A"/>
    <w:rsid w:val="008E4EDA"/>
    <w:rsid w:val="008F6090"/>
    <w:rsid w:val="00916490"/>
    <w:rsid w:val="0092330D"/>
    <w:rsid w:val="009234DB"/>
    <w:rsid w:val="00925EA8"/>
    <w:rsid w:val="00930B0F"/>
    <w:rsid w:val="0094672B"/>
    <w:rsid w:val="009978E0"/>
    <w:rsid w:val="009B03B6"/>
    <w:rsid w:val="009B5FED"/>
    <w:rsid w:val="009D6613"/>
    <w:rsid w:val="009D7078"/>
    <w:rsid w:val="009E2955"/>
    <w:rsid w:val="00A171DE"/>
    <w:rsid w:val="00A22AEC"/>
    <w:rsid w:val="00A47B37"/>
    <w:rsid w:val="00A533A2"/>
    <w:rsid w:val="00A609C7"/>
    <w:rsid w:val="00A811C0"/>
    <w:rsid w:val="00A920E2"/>
    <w:rsid w:val="00AC2BD1"/>
    <w:rsid w:val="00AF0F16"/>
    <w:rsid w:val="00B0635C"/>
    <w:rsid w:val="00B07C21"/>
    <w:rsid w:val="00B1145B"/>
    <w:rsid w:val="00B13D15"/>
    <w:rsid w:val="00B14A46"/>
    <w:rsid w:val="00B20C67"/>
    <w:rsid w:val="00B20FA8"/>
    <w:rsid w:val="00B30859"/>
    <w:rsid w:val="00B41AFE"/>
    <w:rsid w:val="00B44D66"/>
    <w:rsid w:val="00B565D2"/>
    <w:rsid w:val="00B74BF4"/>
    <w:rsid w:val="00B761E5"/>
    <w:rsid w:val="00B776EA"/>
    <w:rsid w:val="00B96E25"/>
    <w:rsid w:val="00BA7C94"/>
    <w:rsid w:val="00BC1AC5"/>
    <w:rsid w:val="00BE1E86"/>
    <w:rsid w:val="00BE3A8B"/>
    <w:rsid w:val="00BF17EB"/>
    <w:rsid w:val="00BF18FE"/>
    <w:rsid w:val="00BF3A31"/>
    <w:rsid w:val="00C06D72"/>
    <w:rsid w:val="00C07669"/>
    <w:rsid w:val="00C1320E"/>
    <w:rsid w:val="00C15A4D"/>
    <w:rsid w:val="00C264FC"/>
    <w:rsid w:val="00C30639"/>
    <w:rsid w:val="00C537F2"/>
    <w:rsid w:val="00C61E5B"/>
    <w:rsid w:val="00C61E5F"/>
    <w:rsid w:val="00C86DEA"/>
    <w:rsid w:val="00C91A21"/>
    <w:rsid w:val="00CB4CA9"/>
    <w:rsid w:val="00CC2230"/>
    <w:rsid w:val="00D01456"/>
    <w:rsid w:val="00D06641"/>
    <w:rsid w:val="00D13E2A"/>
    <w:rsid w:val="00D35519"/>
    <w:rsid w:val="00D41211"/>
    <w:rsid w:val="00D44F55"/>
    <w:rsid w:val="00D56A31"/>
    <w:rsid w:val="00D71054"/>
    <w:rsid w:val="00D76D14"/>
    <w:rsid w:val="00D84376"/>
    <w:rsid w:val="00D93841"/>
    <w:rsid w:val="00DA25B3"/>
    <w:rsid w:val="00DB4D38"/>
    <w:rsid w:val="00DD45A1"/>
    <w:rsid w:val="00E12979"/>
    <w:rsid w:val="00E207F6"/>
    <w:rsid w:val="00E276F8"/>
    <w:rsid w:val="00E5226A"/>
    <w:rsid w:val="00E6564B"/>
    <w:rsid w:val="00E70337"/>
    <w:rsid w:val="00E867C0"/>
    <w:rsid w:val="00EA3AD0"/>
    <w:rsid w:val="00EB085C"/>
    <w:rsid w:val="00EB7569"/>
    <w:rsid w:val="00EC4978"/>
    <w:rsid w:val="00ED21B3"/>
    <w:rsid w:val="00EF6E6B"/>
    <w:rsid w:val="00F043B6"/>
    <w:rsid w:val="00F04484"/>
    <w:rsid w:val="00F16DCC"/>
    <w:rsid w:val="00F172A3"/>
    <w:rsid w:val="00F269E8"/>
    <w:rsid w:val="00F32E0C"/>
    <w:rsid w:val="00F41E11"/>
    <w:rsid w:val="00F435BE"/>
    <w:rsid w:val="00F718D4"/>
    <w:rsid w:val="00F71CDA"/>
    <w:rsid w:val="00F80DFA"/>
    <w:rsid w:val="00F97081"/>
    <w:rsid w:val="00FB3942"/>
    <w:rsid w:val="00FE7095"/>
    <w:rsid w:val="00FF3DB9"/>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6FFA05"/>
  <w15:docId w15:val="{5C956FE3-4547-4E22-A342-1FF0B206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rsid w:val="00C15A4D"/>
    <w:pPr>
      <w:spacing w:line="259" w:lineRule="auto"/>
    </w:pPr>
    <w:rPr>
      <w:rFonts w:ascii="Pact Light" w:hAnsi="Pact Light"/>
      <w:color w:val="00454D" w:themeColor="accent1"/>
      <w:sz w:val="22"/>
    </w:rPr>
  </w:style>
  <w:style w:type="paragraph" w:styleId="Heading1">
    <w:name w:val="heading 1"/>
    <w:basedOn w:val="Normal"/>
    <w:next w:val="Normal"/>
    <w:link w:val="Heading1Char"/>
    <w:autoRedefine/>
    <w:qFormat/>
    <w:rsid w:val="001C274C"/>
    <w:pPr>
      <w:widowControl w:val="0"/>
      <w:suppressAutoHyphens/>
      <w:autoSpaceDE w:val="0"/>
      <w:autoSpaceDN w:val="0"/>
      <w:adjustRightInd w:val="0"/>
      <w:spacing w:before="240" w:after="120" w:line="240" w:lineRule="auto"/>
      <w:textAlignment w:val="center"/>
      <w:outlineLvl w:val="0"/>
    </w:pPr>
    <w:rPr>
      <w:rFonts w:ascii="Verdana" w:hAnsi="Verdana" w:cs="Arial"/>
      <w:b/>
      <w:sz w:val="28"/>
      <w:szCs w:val="26"/>
    </w:rPr>
  </w:style>
  <w:style w:type="paragraph" w:styleId="Heading2">
    <w:name w:val="heading 2"/>
    <w:basedOn w:val="Normal"/>
    <w:next w:val="Normal"/>
    <w:link w:val="Heading2Char"/>
    <w:autoRedefine/>
    <w:qFormat/>
    <w:rsid w:val="000A1019"/>
    <w:pPr>
      <w:widowControl w:val="0"/>
      <w:suppressAutoHyphens/>
      <w:autoSpaceDE w:val="0"/>
      <w:autoSpaceDN w:val="0"/>
      <w:adjustRightInd w:val="0"/>
      <w:spacing w:before="120" w:after="120" w:line="240" w:lineRule="auto"/>
      <w:textAlignment w:val="center"/>
      <w:outlineLvl w:val="1"/>
    </w:pPr>
    <w:rPr>
      <w:rFonts w:ascii="Verdana" w:hAnsi="Verdana" w:cs="ArialMT"/>
      <w:b/>
      <w:color w:val="auto"/>
      <w:sz w:val="28"/>
      <w:lang w:val="en-GB"/>
    </w:rPr>
  </w:style>
  <w:style w:type="paragraph" w:styleId="Heading3">
    <w:name w:val="heading 3"/>
    <w:basedOn w:val="Normal"/>
    <w:next w:val="Normal"/>
    <w:link w:val="Heading3Char"/>
    <w:qFormat/>
    <w:rsid w:val="00102E54"/>
    <w:pPr>
      <w:keepNext/>
      <w:keepLines/>
      <w:spacing w:before="120" w:after="120" w:line="240" w:lineRule="auto"/>
      <w:outlineLvl w:val="2"/>
    </w:pPr>
    <w:rPr>
      <w:rFonts w:ascii="Verdana" w:eastAsia="Times New Roman" w:hAnsi="Verdana"/>
      <w:iCs/>
      <w:color w:val="007B77" w:themeColor="text2"/>
      <w:sz w:val="28"/>
      <w:szCs w:val="22"/>
    </w:rPr>
  </w:style>
  <w:style w:type="paragraph" w:styleId="Heading4">
    <w:name w:val="heading 4"/>
    <w:basedOn w:val="Normal"/>
    <w:next w:val="Normal"/>
    <w:link w:val="Heading4Char"/>
    <w:rsid w:val="00C30639"/>
    <w:pPr>
      <w:keepNext/>
      <w:keepLines/>
      <w:spacing w:before="40"/>
      <w:outlineLvl w:val="3"/>
    </w:pPr>
    <w:rPr>
      <w:rFonts w:ascii="Verdana" w:eastAsiaTheme="majorEastAsia" w:hAnsi="Verdana" w:cstheme="majorBidi"/>
      <w:i/>
      <w:iCs/>
      <w:color w:val="auto"/>
    </w:rPr>
  </w:style>
  <w:style w:type="paragraph" w:styleId="Heading5">
    <w:name w:val="heading 5"/>
    <w:basedOn w:val="Normal"/>
    <w:next w:val="Normal"/>
    <w:link w:val="Heading5Char"/>
    <w:rsid w:val="00C30639"/>
    <w:pPr>
      <w:keepNext/>
      <w:keepLines/>
      <w:spacing w:before="40"/>
      <w:outlineLvl w:val="4"/>
    </w:pPr>
    <w:rPr>
      <w:rFonts w:ascii="Verdana" w:eastAsiaTheme="majorEastAsia" w:hAnsi="Verdana" w:cstheme="majorBidi"/>
      <w:color w:val="auto"/>
    </w:rPr>
  </w:style>
  <w:style w:type="paragraph" w:styleId="Heading6">
    <w:name w:val="heading 6"/>
    <w:basedOn w:val="Normal"/>
    <w:next w:val="Normal"/>
    <w:link w:val="Heading6Char"/>
    <w:rsid w:val="00C30639"/>
    <w:pPr>
      <w:keepNext/>
      <w:keepLines/>
      <w:spacing w:before="40"/>
      <w:outlineLvl w:val="5"/>
    </w:pPr>
    <w:rPr>
      <w:rFonts w:ascii="Verdana" w:eastAsiaTheme="majorEastAsia" w:hAnsi="Verdana" w:cstheme="majorBidi"/>
      <w:color w:val="auto"/>
    </w:rPr>
  </w:style>
  <w:style w:type="paragraph" w:styleId="Heading7">
    <w:name w:val="heading 7"/>
    <w:basedOn w:val="Normal"/>
    <w:next w:val="Normal"/>
    <w:link w:val="Heading7Char"/>
    <w:semiHidden/>
    <w:unhideWhenUsed/>
    <w:rsid w:val="00C30639"/>
    <w:pPr>
      <w:keepNext/>
      <w:keepLines/>
      <w:spacing w:before="40"/>
      <w:outlineLvl w:val="6"/>
    </w:pPr>
    <w:rPr>
      <w:rFonts w:ascii="Verdana" w:eastAsiaTheme="majorEastAsia" w:hAnsi="Verdana" w:cstheme="majorBidi"/>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4C"/>
    <w:rPr>
      <w:rFonts w:ascii="Verdana" w:hAnsi="Verdana" w:cs="Arial"/>
      <w:b/>
      <w:color w:val="00454D" w:themeColor="accent1"/>
      <w:sz w:val="28"/>
      <w:szCs w:val="26"/>
    </w:rPr>
  </w:style>
  <w:style w:type="character" w:customStyle="1" w:styleId="Heading2Char">
    <w:name w:val="Heading 2 Char"/>
    <w:basedOn w:val="DefaultParagraphFont"/>
    <w:link w:val="Heading2"/>
    <w:rsid w:val="000A1019"/>
    <w:rPr>
      <w:rFonts w:ascii="Verdana" w:hAnsi="Verdana" w:cs="ArialMT"/>
      <w:b/>
      <w:sz w:val="28"/>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C30639"/>
    <w:rPr>
      <w:rFonts w:ascii="Verdana" w:hAnsi="Verdana" w:cs="Arial-Black"/>
      <w:color w:val="auto"/>
      <w:spacing w:val="-5"/>
      <w:sz w:val="16"/>
      <w:szCs w:val="20"/>
    </w:rPr>
  </w:style>
  <w:style w:type="character" w:customStyle="1" w:styleId="HeaderChar">
    <w:name w:val="Header Char"/>
    <w:basedOn w:val="DefaultParagraphFont"/>
    <w:link w:val="Header"/>
    <w:uiPriority w:val="99"/>
    <w:rsid w:val="00C30639"/>
    <w:rPr>
      <w:rFonts w:ascii="Verdana" w:hAnsi="Verdana" w:cs="Arial-Black"/>
      <w:spacing w:val="-5"/>
      <w:sz w:val="16"/>
      <w:szCs w:val="20"/>
    </w:rPr>
  </w:style>
  <w:style w:type="paragraph" w:styleId="Footer">
    <w:name w:val="footer"/>
    <w:basedOn w:val="Normal"/>
    <w:link w:val="FooterChar"/>
    <w:uiPriority w:val="99"/>
    <w:unhideWhenUsed/>
    <w:qFormat/>
    <w:rsid w:val="00565095"/>
    <w:pPr>
      <w:tabs>
        <w:tab w:val="left" w:pos="6804"/>
      </w:tabs>
      <w:spacing w:before="480" w:after="480"/>
      <w:ind w:left="720" w:right="360"/>
    </w:pPr>
    <w:rPr>
      <w:rFonts w:ascii="Verdana" w:hAnsi="Verdana"/>
      <w:sz w:val="15"/>
      <w:szCs w:val="15"/>
    </w:rPr>
  </w:style>
  <w:style w:type="character" w:customStyle="1" w:styleId="FooterChar">
    <w:name w:val="Footer Char"/>
    <w:basedOn w:val="DefaultParagraphFont"/>
    <w:link w:val="Footer"/>
    <w:uiPriority w:val="99"/>
    <w:rsid w:val="00565095"/>
    <w:rPr>
      <w:rFonts w:ascii="Verdana" w:hAnsi="Verdana"/>
      <w:color w:val="00454D" w:themeColor="accent1"/>
      <w:sz w:val="15"/>
      <w:szCs w:val="15"/>
    </w:rPr>
  </w:style>
  <w:style w:type="paragraph" w:styleId="Date">
    <w:name w:val="Date"/>
    <w:basedOn w:val="Normal"/>
    <w:next w:val="Normal"/>
    <w:link w:val="DateChar"/>
    <w:uiPriority w:val="99"/>
    <w:unhideWhenUsed/>
    <w:rsid w:val="00C30639"/>
    <w:pPr>
      <w:widowControl w:val="0"/>
      <w:suppressAutoHyphens/>
      <w:autoSpaceDE w:val="0"/>
      <w:autoSpaceDN w:val="0"/>
      <w:adjustRightInd w:val="0"/>
      <w:spacing w:after="640"/>
      <w:textAlignment w:val="center"/>
    </w:pPr>
    <w:rPr>
      <w:rFonts w:ascii="Verdana" w:hAnsi="Verdana" w:cs="Arial"/>
      <w:bCs/>
      <w:color w:val="auto"/>
      <w:szCs w:val="20"/>
    </w:rPr>
  </w:style>
  <w:style w:type="character" w:customStyle="1" w:styleId="DateChar">
    <w:name w:val="Date Char"/>
    <w:basedOn w:val="DefaultParagraphFont"/>
    <w:link w:val="Date"/>
    <w:uiPriority w:val="99"/>
    <w:rsid w:val="00C30639"/>
    <w:rPr>
      <w:rFonts w:ascii="Verdana" w:hAnsi="Verdana" w:cs="Arial"/>
      <w:bCs/>
      <w:sz w:val="22"/>
      <w:szCs w:val="20"/>
    </w:rPr>
  </w:style>
  <w:style w:type="paragraph" w:styleId="BodyText">
    <w:name w:val="Body Text"/>
    <w:basedOn w:val="Normal"/>
    <w:link w:val="BodyTextChar"/>
    <w:autoRedefine/>
    <w:qFormat/>
    <w:rsid w:val="00C86DEA"/>
    <w:pPr>
      <w:widowControl w:val="0"/>
      <w:suppressAutoHyphens/>
      <w:autoSpaceDE w:val="0"/>
      <w:autoSpaceDN w:val="0"/>
      <w:adjustRightInd w:val="0"/>
      <w:spacing w:before="120" w:after="120" w:line="240" w:lineRule="auto"/>
      <w:textAlignment w:val="center"/>
    </w:pPr>
    <w:rPr>
      <w:rFonts w:ascii="Verdana" w:hAnsi="Verdana" w:cs="Arial"/>
      <w:color w:val="auto"/>
      <w:szCs w:val="20"/>
    </w:rPr>
  </w:style>
  <w:style w:type="character" w:customStyle="1" w:styleId="BodyTextChar">
    <w:name w:val="Body Text Char"/>
    <w:basedOn w:val="DefaultParagraphFont"/>
    <w:link w:val="BodyText"/>
    <w:rsid w:val="00C86DEA"/>
    <w:rPr>
      <w:rFonts w:ascii="Verdana" w:hAnsi="Verdana" w:cs="Arial"/>
      <w:sz w:val="22"/>
      <w:szCs w:val="20"/>
    </w:rPr>
  </w:style>
  <w:style w:type="paragraph" w:customStyle="1" w:styleId="Bullet1">
    <w:name w:val="Bullet 1"/>
    <w:basedOn w:val="BodyText"/>
    <w:autoRedefine/>
    <w:qFormat/>
    <w:rsid w:val="009D7078"/>
    <w:pPr>
      <w:widowControl/>
      <w:numPr>
        <w:numId w:val="8"/>
      </w:numPr>
      <w:suppressAutoHyphens w:val="0"/>
      <w:autoSpaceDE/>
      <w:autoSpaceDN/>
      <w:adjustRightInd/>
      <w:ind w:left="1134" w:hanging="567"/>
      <w:textAlignment w:val="auto"/>
    </w:pPr>
    <w:rPr>
      <w:szCs w:val="18"/>
    </w:rPr>
  </w:style>
  <w:style w:type="paragraph" w:customStyle="1" w:styleId="Bullet2">
    <w:name w:val="Bullet 2"/>
    <w:basedOn w:val="Normal"/>
    <w:autoRedefine/>
    <w:qFormat/>
    <w:rsid w:val="001C274C"/>
    <w:pPr>
      <w:numPr>
        <w:ilvl w:val="1"/>
        <w:numId w:val="7"/>
      </w:numPr>
      <w:spacing w:before="120" w:after="120" w:line="240" w:lineRule="auto"/>
      <w:ind w:left="1701" w:hanging="567"/>
    </w:pPr>
    <w:rPr>
      <w:rFonts w:ascii="Verdana" w:hAnsi="Verdana" w:cs="Arial"/>
      <w:color w:val="auto"/>
      <w:sz w:val="24"/>
      <w:szCs w:val="20"/>
    </w:rPr>
  </w:style>
  <w:style w:type="character" w:customStyle="1" w:styleId="Heading3Char">
    <w:name w:val="Heading 3 Char"/>
    <w:basedOn w:val="DefaultParagraphFont"/>
    <w:link w:val="Heading3"/>
    <w:rsid w:val="00102E54"/>
    <w:rPr>
      <w:rFonts w:ascii="Verdana" w:eastAsia="Times New Roman" w:hAnsi="Verdana"/>
      <w:iCs/>
      <w:color w:val="007B77" w:themeColor="text2"/>
      <w:sz w:val="28"/>
      <w:szCs w:val="22"/>
    </w:rPr>
  </w:style>
  <w:style w:type="paragraph" w:customStyle="1" w:styleId="Dear">
    <w:name w:val="Dear"/>
    <w:basedOn w:val="BodyText"/>
    <w:rsid w:val="00BF18FE"/>
    <w:pPr>
      <w:spacing w:before="1320" w:after="240"/>
    </w:pPr>
  </w:style>
  <w:style w:type="character" w:styleId="PageNumber">
    <w:name w:val="page number"/>
    <w:basedOn w:val="DefaultParagraphFont"/>
    <w:rsid w:val="00C30639"/>
    <w:rPr>
      <w:rFonts w:ascii="Verdana" w:hAnsi="Verdana"/>
      <w:b w:val="0"/>
      <w:i w:val="0"/>
      <w:noProof w:val="0"/>
      <w:color w:val="auto"/>
      <w:sz w:val="16"/>
      <w:lang w:val="en-AU"/>
    </w:rPr>
  </w:style>
  <w:style w:type="paragraph" w:customStyle="1" w:styleId="Bullet3">
    <w:name w:val="Bullet 3"/>
    <w:basedOn w:val="Normal"/>
    <w:autoRedefine/>
    <w:qFormat/>
    <w:rsid w:val="009E2955"/>
    <w:pPr>
      <w:numPr>
        <w:ilvl w:val="2"/>
        <w:numId w:val="7"/>
      </w:numPr>
      <w:spacing w:before="120" w:after="120" w:line="240" w:lineRule="auto"/>
      <w:ind w:left="2268" w:hanging="567"/>
    </w:pPr>
    <w:rPr>
      <w:rFonts w:ascii="Verdana" w:hAnsi="Verdana"/>
      <w:color w:val="auto"/>
      <w:sz w:val="24"/>
    </w:rPr>
  </w:style>
  <w:style w:type="character" w:styleId="BookTitle">
    <w:name w:val="Book Title"/>
    <w:uiPriority w:val="33"/>
    <w:rsid w:val="00C86DEA"/>
    <w:rPr>
      <w:rFonts w:cs="Arial"/>
      <w:szCs w:val="20"/>
    </w:rPr>
  </w:style>
  <w:style w:type="paragraph" w:customStyle="1" w:styleId="CoverHeading">
    <w:name w:val="Cover Heading"/>
    <w:basedOn w:val="BodyText"/>
    <w:rsid w:val="00565095"/>
    <w:pPr>
      <w:spacing w:line="192" w:lineRule="auto"/>
      <w:jc w:val="right"/>
    </w:pPr>
    <w:rPr>
      <w:b/>
      <w:bCs/>
      <w:color w:val="00454D" w:themeColor="accent1"/>
      <w:sz w:val="72"/>
      <w:szCs w:val="68"/>
    </w:rPr>
  </w:style>
  <w:style w:type="character" w:customStyle="1" w:styleId="Heading4Char">
    <w:name w:val="Heading 4 Char"/>
    <w:basedOn w:val="DefaultParagraphFont"/>
    <w:link w:val="Heading4"/>
    <w:rsid w:val="00C30639"/>
    <w:rPr>
      <w:rFonts w:ascii="Verdana" w:eastAsiaTheme="majorEastAsia" w:hAnsi="Verdana" w:cstheme="majorBidi"/>
      <w:i/>
      <w:iCs/>
      <w:sz w:val="22"/>
    </w:rPr>
  </w:style>
  <w:style w:type="character" w:customStyle="1" w:styleId="Hashtag1">
    <w:name w:val="Hashtag1"/>
    <w:basedOn w:val="DefaultParagraphFont"/>
    <w:uiPriority w:val="99"/>
    <w:semiHidden/>
    <w:unhideWhenUsed/>
    <w:rsid w:val="00D01456"/>
    <w:rPr>
      <w:color w:val="00454D" w:themeColor="accent1"/>
      <w:shd w:val="clear" w:color="auto" w:fill="E1DFDD"/>
    </w:rPr>
  </w:style>
  <w:style w:type="character" w:customStyle="1" w:styleId="Mention1">
    <w:name w:val="Mention1"/>
    <w:basedOn w:val="DefaultParagraphFont"/>
    <w:uiPriority w:val="99"/>
    <w:semiHidden/>
    <w:unhideWhenUsed/>
    <w:rsid w:val="00D01456"/>
    <w:rPr>
      <w:color w:val="00454D" w:themeColor="accent1"/>
      <w:shd w:val="clear" w:color="auto" w:fill="E1DFDD"/>
    </w:rPr>
  </w:style>
  <w:style w:type="paragraph" w:customStyle="1" w:styleId="Contacts">
    <w:name w:val="Contacts"/>
    <w:basedOn w:val="Normal"/>
    <w:rsid w:val="00C30639"/>
    <w:pPr>
      <w:tabs>
        <w:tab w:val="left" w:pos="284"/>
      </w:tabs>
    </w:pPr>
    <w:rPr>
      <w:rFonts w:ascii="Verdana" w:hAnsi="Verdana"/>
      <w:color w:val="auto"/>
    </w:rPr>
  </w:style>
  <w:style w:type="paragraph" w:styleId="TOCHeading">
    <w:name w:val="TOC Heading"/>
    <w:basedOn w:val="Heading1"/>
    <w:next w:val="Normal"/>
    <w:uiPriority w:val="39"/>
    <w:unhideWhenUsed/>
    <w:qFormat/>
    <w:rsid w:val="00C30639"/>
    <w:pPr>
      <w:keepNext/>
      <w:keepLines/>
      <w:widowControl/>
      <w:suppressAutoHyphens w:val="0"/>
      <w:autoSpaceDE/>
      <w:autoSpaceDN/>
      <w:adjustRightInd/>
      <w:spacing w:after="0"/>
      <w:textAlignment w:val="auto"/>
      <w:outlineLvl w:val="9"/>
    </w:pPr>
    <w:rPr>
      <w:rFonts w:eastAsiaTheme="majorEastAsia" w:cstheme="majorBidi"/>
      <w:sz w:val="32"/>
      <w:szCs w:val="32"/>
      <w:lang w:val="en-US"/>
    </w:rPr>
  </w:style>
  <w:style w:type="paragraph" w:styleId="TOC1">
    <w:name w:val="toc 1"/>
    <w:basedOn w:val="Normal"/>
    <w:next w:val="Normal"/>
    <w:autoRedefine/>
    <w:uiPriority w:val="39"/>
    <w:unhideWhenUsed/>
    <w:qFormat/>
    <w:rsid w:val="00C30639"/>
    <w:pPr>
      <w:tabs>
        <w:tab w:val="right" w:leader="dot" w:pos="8715"/>
      </w:tabs>
      <w:spacing w:after="100"/>
    </w:pPr>
    <w:rPr>
      <w:rFonts w:ascii="Verdana" w:hAnsi="Verdana"/>
      <w:noProof/>
      <w:color w:val="auto"/>
    </w:rPr>
  </w:style>
  <w:style w:type="paragraph" w:styleId="TOC2">
    <w:name w:val="toc 2"/>
    <w:basedOn w:val="Normal"/>
    <w:next w:val="Normal"/>
    <w:autoRedefine/>
    <w:uiPriority w:val="39"/>
    <w:unhideWhenUsed/>
    <w:rsid w:val="00C86DEA"/>
    <w:pPr>
      <w:tabs>
        <w:tab w:val="right" w:leader="dot" w:pos="8715"/>
      </w:tabs>
      <w:spacing w:before="120" w:after="120"/>
      <w:ind w:left="221"/>
    </w:pPr>
    <w:rPr>
      <w:rFonts w:ascii="Verdana" w:hAnsi="Verdana"/>
      <w:color w:val="auto"/>
    </w:rPr>
  </w:style>
  <w:style w:type="character" w:styleId="Hyperlink">
    <w:name w:val="Hyperlink"/>
    <w:basedOn w:val="DefaultParagraphFont"/>
    <w:uiPriority w:val="99"/>
    <w:unhideWhenUsed/>
    <w:rsid w:val="00125EB3"/>
    <w:rPr>
      <w:rFonts w:ascii="Verdana" w:hAnsi="Verdana"/>
      <w:b w:val="0"/>
      <w:color w:val="007B77"/>
      <w:sz w:val="24"/>
      <w:u w:val="single"/>
    </w:rPr>
  </w:style>
  <w:style w:type="paragraph" w:styleId="ListParagraph">
    <w:name w:val="List Paragraph"/>
    <w:basedOn w:val="Normal"/>
    <w:uiPriority w:val="34"/>
    <w:qFormat/>
    <w:rsid w:val="006F536B"/>
    <w:pPr>
      <w:ind w:left="720"/>
      <w:contextualSpacing/>
    </w:pPr>
  </w:style>
  <w:style w:type="character" w:styleId="UnresolvedMention">
    <w:name w:val="Unresolved Mention"/>
    <w:basedOn w:val="DefaultParagraphFont"/>
    <w:uiPriority w:val="99"/>
    <w:semiHidden/>
    <w:unhideWhenUsed/>
    <w:rsid w:val="00E12979"/>
    <w:rPr>
      <w:color w:val="605E5C"/>
      <w:shd w:val="clear" w:color="auto" w:fill="E1DFDD"/>
    </w:rPr>
  </w:style>
  <w:style w:type="paragraph" w:customStyle="1" w:styleId="TableTitle">
    <w:name w:val="Table Title"/>
    <w:basedOn w:val="Heading2"/>
    <w:rsid w:val="00F71CDA"/>
    <w:rPr>
      <w:sz w:val="22"/>
      <w:szCs w:val="22"/>
    </w:rPr>
  </w:style>
  <w:style w:type="character" w:styleId="Emphasis">
    <w:name w:val="Emphasis"/>
    <w:basedOn w:val="DefaultParagraphFont"/>
    <w:rsid w:val="0002009F"/>
    <w:rPr>
      <w:i/>
      <w:iCs/>
    </w:rPr>
  </w:style>
  <w:style w:type="paragraph" w:styleId="Quote">
    <w:name w:val="Quote"/>
    <w:basedOn w:val="Normal"/>
    <w:next w:val="Normal"/>
    <w:link w:val="QuoteChar"/>
    <w:rsid w:val="00376924"/>
    <w:pPr>
      <w:spacing w:before="120" w:after="120" w:line="240" w:lineRule="auto"/>
      <w:ind w:left="862" w:right="862"/>
    </w:pPr>
    <w:rPr>
      <w:rFonts w:ascii="Verdana" w:hAnsi="Verdana"/>
      <w:b/>
      <w:i/>
      <w:iCs/>
      <w:color w:val="007B77" w:themeColor="text2"/>
      <w:sz w:val="24"/>
    </w:rPr>
  </w:style>
  <w:style w:type="character" w:customStyle="1" w:styleId="QuoteChar">
    <w:name w:val="Quote Char"/>
    <w:basedOn w:val="DefaultParagraphFont"/>
    <w:link w:val="Quote"/>
    <w:rsid w:val="00376924"/>
    <w:rPr>
      <w:rFonts w:ascii="Verdana" w:hAnsi="Verdana"/>
      <w:b/>
      <w:i/>
      <w:iCs/>
      <w:color w:val="007B77" w:themeColor="text2"/>
    </w:rPr>
  </w:style>
  <w:style w:type="paragraph" w:styleId="BodyTextFirstIndent">
    <w:name w:val="Body Text First Indent"/>
    <w:basedOn w:val="BodyText"/>
    <w:link w:val="BodyTextFirstIndentChar"/>
    <w:rsid w:val="00F16DCC"/>
    <w:pPr>
      <w:widowControl/>
      <w:suppressAutoHyphens w:val="0"/>
      <w:autoSpaceDE/>
      <w:autoSpaceDN/>
      <w:adjustRightInd/>
      <w:spacing w:before="0" w:after="0"/>
      <w:ind w:firstLine="360"/>
      <w:textAlignment w:val="auto"/>
    </w:pPr>
    <w:rPr>
      <w:rFonts w:cs="Times New Roman"/>
      <w:szCs w:val="24"/>
    </w:rPr>
  </w:style>
  <w:style w:type="character" w:customStyle="1" w:styleId="BodyTextFirstIndentChar">
    <w:name w:val="Body Text First Indent Char"/>
    <w:basedOn w:val="BodyTextChar"/>
    <w:link w:val="BodyTextFirstIndent"/>
    <w:rsid w:val="00F16DCC"/>
    <w:rPr>
      <w:rFonts w:ascii="Verdana" w:hAnsi="Verdana" w:cs="Arial"/>
      <w:color w:val="007171"/>
      <w:sz w:val="22"/>
      <w:szCs w:val="20"/>
    </w:rPr>
  </w:style>
  <w:style w:type="character" w:customStyle="1" w:styleId="Heading5Char">
    <w:name w:val="Heading 5 Char"/>
    <w:basedOn w:val="DefaultParagraphFont"/>
    <w:link w:val="Heading5"/>
    <w:rsid w:val="00C30639"/>
    <w:rPr>
      <w:rFonts w:ascii="Verdana" w:eastAsiaTheme="majorEastAsia" w:hAnsi="Verdana" w:cstheme="majorBidi"/>
      <w:sz w:val="22"/>
    </w:rPr>
  </w:style>
  <w:style w:type="character" w:customStyle="1" w:styleId="Heading6Char">
    <w:name w:val="Heading 6 Char"/>
    <w:basedOn w:val="DefaultParagraphFont"/>
    <w:link w:val="Heading6"/>
    <w:rsid w:val="00C30639"/>
    <w:rPr>
      <w:rFonts w:ascii="Verdana" w:eastAsiaTheme="majorEastAsia" w:hAnsi="Verdana" w:cstheme="majorBidi"/>
      <w:sz w:val="22"/>
    </w:rPr>
  </w:style>
  <w:style w:type="character" w:styleId="IntenseEmphasis">
    <w:name w:val="Intense Emphasis"/>
    <w:basedOn w:val="DefaultParagraphFont"/>
    <w:uiPriority w:val="21"/>
    <w:rsid w:val="00C30639"/>
    <w:rPr>
      <w:rFonts w:ascii="Verdana" w:hAnsi="Verdana"/>
      <w:i/>
      <w:iCs/>
      <w:color w:val="auto"/>
    </w:rPr>
  </w:style>
  <w:style w:type="character" w:customStyle="1" w:styleId="Heading7Char">
    <w:name w:val="Heading 7 Char"/>
    <w:basedOn w:val="DefaultParagraphFont"/>
    <w:link w:val="Heading7"/>
    <w:semiHidden/>
    <w:rsid w:val="00C30639"/>
    <w:rPr>
      <w:rFonts w:ascii="Verdana" w:eastAsiaTheme="majorEastAsia" w:hAnsi="Verdana" w:cstheme="majorBidi"/>
      <w:i/>
      <w:iCs/>
      <w:sz w:val="22"/>
    </w:rPr>
  </w:style>
  <w:style w:type="paragraph" w:styleId="IntenseQuote">
    <w:name w:val="Intense Quote"/>
    <w:basedOn w:val="Normal"/>
    <w:next w:val="Normal"/>
    <w:link w:val="IntenseQuoteChar"/>
    <w:rsid w:val="00C30639"/>
    <w:pPr>
      <w:pBdr>
        <w:top w:val="single" w:sz="4" w:space="10" w:color="00454D" w:themeColor="accent1"/>
        <w:bottom w:val="single" w:sz="4" w:space="10" w:color="00454D" w:themeColor="accent1"/>
      </w:pBdr>
      <w:spacing w:before="360" w:after="360"/>
      <w:ind w:left="864" w:right="864"/>
      <w:jc w:val="center"/>
    </w:pPr>
    <w:rPr>
      <w:rFonts w:ascii="Verdana" w:hAnsi="Verdana"/>
      <w:i/>
      <w:iCs/>
      <w:color w:val="auto"/>
    </w:rPr>
  </w:style>
  <w:style w:type="character" w:customStyle="1" w:styleId="IntenseQuoteChar">
    <w:name w:val="Intense Quote Char"/>
    <w:basedOn w:val="DefaultParagraphFont"/>
    <w:link w:val="IntenseQuote"/>
    <w:rsid w:val="00C30639"/>
    <w:rPr>
      <w:rFonts w:ascii="Verdana" w:hAnsi="Verdana"/>
      <w:i/>
      <w:iCs/>
      <w:sz w:val="22"/>
    </w:rPr>
  </w:style>
  <w:style w:type="paragraph" w:styleId="ListNumber">
    <w:name w:val="List Number"/>
    <w:basedOn w:val="Normal"/>
    <w:autoRedefine/>
    <w:qFormat/>
    <w:rsid w:val="00B20C67"/>
    <w:pPr>
      <w:numPr>
        <w:numId w:val="5"/>
      </w:numPr>
      <w:spacing w:before="240" w:after="120" w:line="240" w:lineRule="auto"/>
    </w:pPr>
    <w:rPr>
      <w:rFonts w:ascii="Verdana" w:hAnsi="Verdana"/>
      <w:b/>
      <w:bCs/>
      <w:sz w:val="28"/>
    </w:rPr>
  </w:style>
  <w:style w:type="paragraph" w:styleId="Title">
    <w:name w:val="Title"/>
    <w:basedOn w:val="Normal"/>
    <w:next w:val="Normal"/>
    <w:link w:val="TitleChar"/>
    <w:rsid w:val="00C30639"/>
    <w:pPr>
      <w:spacing w:line="240" w:lineRule="auto"/>
      <w:contextualSpacing/>
    </w:pPr>
    <w:rPr>
      <w:rFonts w:ascii="Verdana" w:eastAsiaTheme="majorEastAsia" w:hAnsi="Verdana" w:cstheme="majorBidi"/>
      <w:color w:val="auto"/>
      <w:spacing w:val="-10"/>
      <w:kern w:val="28"/>
      <w:sz w:val="56"/>
      <w:szCs w:val="56"/>
    </w:rPr>
  </w:style>
  <w:style w:type="character" w:customStyle="1" w:styleId="TitleChar">
    <w:name w:val="Title Char"/>
    <w:basedOn w:val="DefaultParagraphFont"/>
    <w:link w:val="Title"/>
    <w:rsid w:val="00C30639"/>
    <w:rPr>
      <w:rFonts w:ascii="Verdana" w:eastAsiaTheme="majorEastAsia" w:hAnsi="Verdana" w:cstheme="majorBidi"/>
      <w:spacing w:val="-10"/>
      <w:kern w:val="28"/>
      <w:sz w:val="56"/>
      <w:szCs w:val="56"/>
    </w:rPr>
  </w:style>
  <w:style w:type="paragraph" w:styleId="Salutation">
    <w:name w:val="Salutation"/>
    <w:basedOn w:val="Normal"/>
    <w:next w:val="Normal"/>
    <w:link w:val="SalutationChar"/>
    <w:autoRedefine/>
    <w:rsid w:val="002050E2"/>
    <w:rPr>
      <w:rFonts w:ascii="Verdana" w:hAnsi="Verdana"/>
    </w:rPr>
  </w:style>
  <w:style w:type="character" w:customStyle="1" w:styleId="SalutationChar">
    <w:name w:val="Salutation Char"/>
    <w:basedOn w:val="DefaultParagraphFont"/>
    <w:link w:val="Salutation"/>
    <w:rsid w:val="002050E2"/>
    <w:rPr>
      <w:rFonts w:ascii="Verdana" w:hAnsi="Verdana"/>
      <w:color w:val="00454D" w:themeColor="accent1"/>
      <w:sz w:val="22"/>
    </w:rPr>
  </w:style>
  <w:style w:type="paragraph" w:customStyle="1" w:styleId="TableHeading">
    <w:name w:val="Table Heading"/>
    <w:basedOn w:val="BodyText"/>
    <w:autoRedefine/>
    <w:qFormat/>
    <w:rsid w:val="00B565D2"/>
    <w:rPr>
      <w:b/>
      <w:bCs/>
      <w:color w:val="00454D" w:themeColor="accent1"/>
      <w:sz w:val="24"/>
    </w:rPr>
  </w:style>
  <w:style w:type="paragraph" w:customStyle="1" w:styleId="TableSubHeading">
    <w:name w:val="Table Sub Heading"/>
    <w:basedOn w:val="TableHeading"/>
    <w:autoRedefine/>
    <w:qFormat/>
    <w:rsid w:val="009E2955"/>
    <w:pPr>
      <w:spacing w:before="60" w:after="60"/>
    </w:pPr>
    <w:rPr>
      <w:color w:val="000000" w:themeColor="text1"/>
    </w:rPr>
  </w:style>
  <w:style w:type="paragraph" w:customStyle="1" w:styleId="TableCopy">
    <w:name w:val="Table Copy"/>
    <w:basedOn w:val="TableHeading"/>
    <w:autoRedefine/>
    <w:qFormat/>
    <w:rsid w:val="00776BD0"/>
    <w:pPr>
      <w:spacing w:before="60" w:after="60"/>
    </w:pPr>
    <w:rPr>
      <w:b w:val="0"/>
      <w:bCs w:val="0"/>
      <w:color w:val="000000" w:themeColor="text1"/>
    </w:rPr>
  </w:style>
  <w:style w:type="table" w:styleId="GridTable1Light-Accent3">
    <w:name w:val="Grid Table 1 Light Accent 3"/>
    <w:basedOn w:val="TableNormal"/>
    <w:uiPriority w:val="46"/>
    <w:rsid w:val="00244306"/>
    <w:tblPr>
      <w:tblStyleRowBandSize w:val="1"/>
      <w:tblStyleColBandSize w:val="1"/>
      <w:tblBorders>
        <w:top w:val="single" w:sz="4" w:space="0" w:color="FFFFFF" w:themeColor="accent3" w:themeTint="66"/>
        <w:left w:val="single" w:sz="4" w:space="0" w:color="FFFFFF" w:themeColor="accent3" w:themeTint="66"/>
        <w:bottom w:val="single" w:sz="4" w:space="0" w:color="FFFFFF" w:themeColor="accent3" w:themeTint="66"/>
        <w:right w:val="single" w:sz="4" w:space="0" w:color="FFFFFF" w:themeColor="accent3" w:themeTint="66"/>
        <w:insideH w:val="single" w:sz="4" w:space="0" w:color="FFFFFF" w:themeColor="accent3" w:themeTint="66"/>
        <w:insideV w:val="single" w:sz="4" w:space="0" w:color="FFFFFF" w:themeColor="accent3" w:themeTint="66"/>
      </w:tblBorders>
    </w:tblPr>
    <w:tblStylePr w:type="firstRow">
      <w:rPr>
        <w:b/>
        <w:bCs/>
      </w:rPr>
      <w:tblPr/>
      <w:tcPr>
        <w:tcBorders>
          <w:bottom w:val="single" w:sz="12" w:space="0" w:color="FFFFFF" w:themeColor="accent3" w:themeTint="99"/>
        </w:tcBorders>
      </w:tcPr>
    </w:tblStylePr>
    <w:tblStylePr w:type="lastRow">
      <w:rPr>
        <w:b/>
        <w:bCs/>
      </w:rPr>
      <w:tblPr/>
      <w:tcPr>
        <w:tcBorders>
          <w:top w:val="double" w:sz="2" w:space="0" w:color="FFFFFF" w:themeColor="accent3" w:themeTint="99"/>
        </w:tcBorders>
      </w:tcPr>
    </w:tblStylePr>
    <w:tblStylePr w:type="firstCol">
      <w:rPr>
        <w:b/>
        <w:bCs/>
      </w:rPr>
    </w:tblStylePr>
    <w:tblStylePr w:type="lastCol">
      <w:rPr>
        <w:b/>
        <w:bCs/>
      </w:rPr>
    </w:tblStylePr>
  </w:style>
  <w:style w:type="table" w:styleId="GridTable1Light">
    <w:name w:val="Grid Table 1 Light"/>
    <w:basedOn w:val="TableNormal"/>
    <w:rsid w:val="00F71CD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agraph">
    <w:name w:val="paragraph"/>
    <w:basedOn w:val="Normal"/>
    <w:rsid w:val="002D6CCC"/>
    <w:pPr>
      <w:spacing w:before="100" w:beforeAutospacing="1" w:after="100" w:afterAutospacing="1" w:line="240" w:lineRule="auto"/>
    </w:pPr>
    <w:rPr>
      <w:rFonts w:ascii="Times New Roman" w:eastAsia="Times New Roman" w:hAnsi="Times New Roman"/>
      <w:color w:val="auto"/>
      <w:sz w:val="24"/>
      <w:lang w:eastAsia="en-AU"/>
    </w:rPr>
  </w:style>
  <w:style w:type="character" w:customStyle="1" w:styleId="normaltextrun">
    <w:name w:val="normaltextrun"/>
    <w:basedOn w:val="DefaultParagraphFont"/>
    <w:rsid w:val="002D6CCC"/>
  </w:style>
  <w:style w:type="character" w:customStyle="1" w:styleId="eop">
    <w:name w:val="eop"/>
    <w:basedOn w:val="DefaultParagraphFont"/>
    <w:rsid w:val="002D6CCC"/>
  </w:style>
  <w:style w:type="character" w:customStyle="1" w:styleId="tabchar">
    <w:name w:val="tabchar"/>
    <w:basedOn w:val="DefaultParagraphFont"/>
    <w:rsid w:val="002D6CCC"/>
  </w:style>
  <w:style w:type="paragraph" w:styleId="ListNumber2">
    <w:name w:val="List Number 2"/>
    <w:basedOn w:val="ListNumber"/>
    <w:autoRedefine/>
    <w:unhideWhenUsed/>
    <w:rsid w:val="001C274C"/>
    <w:pPr>
      <w:numPr>
        <w:ilvl w:val="1"/>
      </w:numPr>
      <w:spacing w:before="120"/>
    </w:pPr>
    <w:rPr>
      <w:b w:val="0"/>
      <w:bCs w:val="0"/>
      <w:color w:val="auto"/>
      <w:sz w:val="24"/>
      <w:szCs w:val="22"/>
    </w:rPr>
  </w:style>
  <w:style w:type="paragraph" w:styleId="ListNumber3">
    <w:name w:val="List Number 3"/>
    <w:basedOn w:val="ListNumber"/>
    <w:autoRedefine/>
    <w:unhideWhenUsed/>
    <w:rsid w:val="00B20C67"/>
    <w:pPr>
      <w:numPr>
        <w:ilvl w:val="2"/>
      </w:numPr>
      <w:spacing w:before="120"/>
    </w:pPr>
    <w:rPr>
      <w:b w:val="0"/>
      <w:bCs w:val="0"/>
      <w:color w:val="auto"/>
      <w:sz w:val="24"/>
      <w:szCs w:val="22"/>
    </w:rPr>
  </w:style>
  <w:style w:type="paragraph" w:styleId="Revision">
    <w:name w:val="Revision"/>
    <w:hidden/>
    <w:semiHidden/>
    <w:rsid w:val="00F435BE"/>
    <w:rPr>
      <w:rFonts w:ascii="Pact Light" w:hAnsi="Pact Light"/>
      <w:color w:val="00454D" w:themeColor="accent1"/>
      <w:sz w:val="22"/>
    </w:rPr>
  </w:style>
  <w:style w:type="paragraph" w:styleId="Subtitle">
    <w:name w:val="Subtitle"/>
    <w:basedOn w:val="NoSpacing"/>
    <w:next w:val="Normal"/>
    <w:link w:val="SubtitleChar"/>
    <w:uiPriority w:val="11"/>
    <w:qFormat/>
    <w:rsid w:val="00F718D4"/>
    <w:rPr>
      <w:rFonts w:ascii="Century Gothic" w:eastAsiaTheme="minorHAnsi" w:hAnsi="Century Gothic" w:cstheme="minorBidi"/>
      <w:b/>
      <w:color w:val="007B77" w:themeColor="text2"/>
      <w:sz w:val="24"/>
      <w:szCs w:val="20"/>
    </w:rPr>
  </w:style>
  <w:style w:type="character" w:customStyle="1" w:styleId="SubtitleChar">
    <w:name w:val="Subtitle Char"/>
    <w:basedOn w:val="DefaultParagraphFont"/>
    <w:link w:val="Subtitle"/>
    <w:uiPriority w:val="11"/>
    <w:rsid w:val="00F718D4"/>
    <w:rPr>
      <w:rFonts w:ascii="Century Gothic" w:eastAsiaTheme="minorHAnsi" w:hAnsi="Century Gothic" w:cstheme="minorBidi"/>
      <w:b/>
      <w:color w:val="007B77" w:themeColor="text2"/>
      <w:szCs w:val="20"/>
    </w:rPr>
  </w:style>
  <w:style w:type="paragraph" w:styleId="NoSpacing">
    <w:name w:val="No Spacing"/>
    <w:rsid w:val="00F718D4"/>
    <w:rPr>
      <w:rFonts w:ascii="Pact Light" w:hAnsi="Pact Light"/>
      <w:color w:val="00454D" w:themeColor="accen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132560">
      <w:bodyDiv w:val="1"/>
      <w:marLeft w:val="0"/>
      <w:marRight w:val="0"/>
      <w:marTop w:val="0"/>
      <w:marBottom w:val="0"/>
      <w:divBdr>
        <w:top w:val="none" w:sz="0" w:space="0" w:color="auto"/>
        <w:left w:val="none" w:sz="0" w:space="0" w:color="auto"/>
        <w:bottom w:val="none" w:sz="0" w:space="0" w:color="auto"/>
        <w:right w:val="none" w:sz="0" w:space="0" w:color="auto"/>
      </w:divBdr>
      <w:divsChild>
        <w:div w:id="140738232">
          <w:marLeft w:val="0"/>
          <w:marRight w:val="0"/>
          <w:marTop w:val="0"/>
          <w:marBottom w:val="0"/>
          <w:divBdr>
            <w:top w:val="none" w:sz="0" w:space="0" w:color="auto"/>
            <w:left w:val="none" w:sz="0" w:space="0" w:color="auto"/>
            <w:bottom w:val="none" w:sz="0" w:space="0" w:color="auto"/>
            <w:right w:val="none" w:sz="0" w:space="0" w:color="auto"/>
          </w:divBdr>
          <w:divsChild>
            <w:div w:id="217788970">
              <w:marLeft w:val="0"/>
              <w:marRight w:val="0"/>
              <w:marTop w:val="0"/>
              <w:marBottom w:val="0"/>
              <w:divBdr>
                <w:top w:val="none" w:sz="0" w:space="0" w:color="auto"/>
                <w:left w:val="none" w:sz="0" w:space="0" w:color="auto"/>
                <w:bottom w:val="none" w:sz="0" w:space="0" w:color="auto"/>
                <w:right w:val="none" w:sz="0" w:space="0" w:color="auto"/>
              </w:divBdr>
            </w:div>
            <w:div w:id="656081467">
              <w:marLeft w:val="0"/>
              <w:marRight w:val="0"/>
              <w:marTop w:val="0"/>
              <w:marBottom w:val="0"/>
              <w:divBdr>
                <w:top w:val="none" w:sz="0" w:space="0" w:color="auto"/>
                <w:left w:val="none" w:sz="0" w:space="0" w:color="auto"/>
                <w:bottom w:val="none" w:sz="0" w:space="0" w:color="auto"/>
                <w:right w:val="none" w:sz="0" w:space="0" w:color="auto"/>
              </w:divBdr>
            </w:div>
            <w:div w:id="996886098">
              <w:marLeft w:val="0"/>
              <w:marRight w:val="0"/>
              <w:marTop w:val="0"/>
              <w:marBottom w:val="0"/>
              <w:divBdr>
                <w:top w:val="none" w:sz="0" w:space="0" w:color="auto"/>
                <w:left w:val="none" w:sz="0" w:space="0" w:color="auto"/>
                <w:bottom w:val="none" w:sz="0" w:space="0" w:color="auto"/>
                <w:right w:val="none" w:sz="0" w:space="0" w:color="auto"/>
              </w:divBdr>
            </w:div>
            <w:div w:id="1422410501">
              <w:marLeft w:val="0"/>
              <w:marRight w:val="0"/>
              <w:marTop w:val="0"/>
              <w:marBottom w:val="0"/>
              <w:divBdr>
                <w:top w:val="none" w:sz="0" w:space="0" w:color="auto"/>
                <w:left w:val="none" w:sz="0" w:space="0" w:color="auto"/>
                <w:bottom w:val="none" w:sz="0" w:space="0" w:color="auto"/>
                <w:right w:val="none" w:sz="0" w:space="0" w:color="auto"/>
              </w:divBdr>
            </w:div>
          </w:divsChild>
        </w:div>
        <w:div w:id="199589864">
          <w:marLeft w:val="0"/>
          <w:marRight w:val="0"/>
          <w:marTop w:val="0"/>
          <w:marBottom w:val="0"/>
          <w:divBdr>
            <w:top w:val="none" w:sz="0" w:space="0" w:color="auto"/>
            <w:left w:val="none" w:sz="0" w:space="0" w:color="auto"/>
            <w:bottom w:val="none" w:sz="0" w:space="0" w:color="auto"/>
            <w:right w:val="none" w:sz="0" w:space="0" w:color="auto"/>
          </w:divBdr>
        </w:div>
        <w:div w:id="589700015">
          <w:marLeft w:val="0"/>
          <w:marRight w:val="0"/>
          <w:marTop w:val="0"/>
          <w:marBottom w:val="0"/>
          <w:divBdr>
            <w:top w:val="none" w:sz="0" w:space="0" w:color="auto"/>
            <w:left w:val="none" w:sz="0" w:space="0" w:color="auto"/>
            <w:bottom w:val="none" w:sz="0" w:space="0" w:color="auto"/>
            <w:right w:val="none" w:sz="0" w:space="0" w:color="auto"/>
          </w:divBdr>
        </w:div>
        <w:div w:id="649015838">
          <w:marLeft w:val="0"/>
          <w:marRight w:val="0"/>
          <w:marTop w:val="0"/>
          <w:marBottom w:val="0"/>
          <w:divBdr>
            <w:top w:val="none" w:sz="0" w:space="0" w:color="auto"/>
            <w:left w:val="none" w:sz="0" w:space="0" w:color="auto"/>
            <w:bottom w:val="none" w:sz="0" w:space="0" w:color="auto"/>
            <w:right w:val="none" w:sz="0" w:space="0" w:color="auto"/>
          </w:divBdr>
        </w:div>
        <w:div w:id="837040170">
          <w:marLeft w:val="0"/>
          <w:marRight w:val="0"/>
          <w:marTop w:val="0"/>
          <w:marBottom w:val="0"/>
          <w:divBdr>
            <w:top w:val="none" w:sz="0" w:space="0" w:color="auto"/>
            <w:left w:val="none" w:sz="0" w:space="0" w:color="auto"/>
            <w:bottom w:val="none" w:sz="0" w:space="0" w:color="auto"/>
            <w:right w:val="none" w:sz="0" w:space="0" w:color="auto"/>
          </w:divBdr>
        </w:div>
        <w:div w:id="873888795">
          <w:marLeft w:val="0"/>
          <w:marRight w:val="0"/>
          <w:marTop w:val="0"/>
          <w:marBottom w:val="0"/>
          <w:divBdr>
            <w:top w:val="none" w:sz="0" w:space="0" w:color="auto"/>
            <w:left w:val="none" w:sz="0" w:space="0" w:color="auto"/>
            <w:bottom w:val="none" w:sz="0" w:space="0" w:color="auto"/>
            <w:right w:val="none" w:sz="0" w:space="0" w:color="auto"/>
          </w:divBdr>
        </w:div>
        <w:div w:id="956134224">
          <w:marLeft w:val="0"/>
          <w:marRight w:val="0"/>
          <w:marTop w:val="0"/>
          <w:marBottom w:val="0"/>
          <w:divBdr>
            <w:top w:val="none" w:sz="0" w:space="0" w:color="auto"/>
            <w:left w:val="none" w:sz="0" w:space="0" w:color="auto"/>
            <w:bottom w:val="none" w:sz="0" w:space="0" w:color="auto"/>
            <w:right w:val="none" w:sz="0" w:space="0" w:color="auto"/>
          </w:divBdr>
          <w:divsChild>
            <w:div w:id="131337198">
              <w:marLeft w:val="0"/>
              <w:marRight w:val="0"/>
              <w:marTop w:val="0"/>
              <w:marBottom w:val="0"/>
              <w:divBdr>
                <w:top w:val="none" w:sz="0" w:space="0" w:color="auto"/>
                <w:left w:val="none" w:sz="0" w:space="0" w:color="auto"/>
                <w:bottom w:val="none" w:sz="0" w:space="0" w:color="auto"/>
                <w:right w:val="none" w:sz="0" w:space="0" w:color="auto"/>
              </w:divBdr>
            </w:div>
            <w:div w:id="168714131">
              <w:marLeft w:val="0"/>
              <w:marRight w:val="0"/>
              <w:marTop w:val="0"/>
              <w:marBottom w:val="0"/>
              <w:divBdr>
                <w:top w:val="none" w:sz="0" w:space="0" w:color="auto"/>
                <w:left w:val="none" w:sz="0" w:space="0" w:color="auto"/>
                <w:bottom w:val="none" w:sz="0" w:space="0" w:color="auto"/>
                <w:right w:val="none" w:sz="0" w:space="0" w:color="auto"/>
              </w:divBdr>
            </w:div>
            <w:div w:id="171723818">
              <w:marLeft w:val="0"/>
              <w:marRight w:val="0"/>
              <w:marTop w:val="0"/>
              <w:marBottom w:val="0"/>
              <w:divBdr>
                <w:top w:val="none" w:sz="0" w:space="0" w:color="auto"/>
                <w:left w:val="none" w:sz="0" w:space="0" w:color="auto"/>
                <w:bottom w:val="none" w:sz="0" w:space="0" w:color="auto"/>
                <w:right w:val="none" w:sz="0" w:space="0" w:color="auto"/>
              </w:divBdr>
            </w:div>
            <w:div w:id="173812099">
              <w:marLeft w:val="0"/>
              <w:marRight w:val="0"/>
              <w:marTop w:val="0"/>
              <w:marBottom w:val="0"/>
              <w:divBdr>
                <w:top w:val="none" w:sz="0" w:space="0" w:color="auto"/>
                <w:left w:val="none" w:sz="0" w:space="0" w:color="auto"/>
                <w:bottom w:val="none" w:sz="0" w:space="0" w:color="auto"/>
                <w:right w:val="none" w:sz="0" w:space="0" w:color="auto"/>
              </w:divBdr>
            </w:div>
            <w:div w:id="1715275516">
              <w:marLeft w:val="0"/>
              <w:marRight w:val="0"/>
              <w:marTop w:val="0"/>
              <w:marBottom w:val="0"/>
              <w:divBdr>
                <w:top w:val="none" w:sz="0" w:space="0" w:color="auto"/>
                <w:left w:val="none" w:sz="0" w:space="0" w:color="auto"/>
                <w:bottom w:val="none" w:sz="0" w:space="0" w:color="auto"/>
                <w:right w:val="none" w:sz="0" w:space="0" w:color="auto"/>
              </w:divBdr>
            </w:div>
          </w:divsChild>
        </w:div>
        <w:div w:id="1205560416">
          <w:marLeft w:val="0"/>
          <w:marRight w:val="0"/>
          <w:marTop w:val="0"/>
          <w:marBottom w:val="0"/>
          <w:divBdr>
            <w:top w:val="none" w:sz="0" w:space="0" w:color="auto"/>
            <w:left w:val="none" w:sz="0" w:space="0" w:color="auto"/>
            <w:bottom w:val="none" w:sz="0" w:space="0" w:color="auto"/>
            <w:right w:val="none" w:sz="0" w:space="0" w:color="auto"/>
          </w:divBdr>
        </w:div>
        <w:div w:id="1227692002">
          <w:marLeft w:val="0"/>
          <w:marRight w:val="0"/>
          <w:marTop w:val="0"/>
          <w:marBottom w:val="0"/>
          <w:divBdr>
            <w:top w:val="none" w:sz="0" w:space="0" w:color="auto"/>
            <w:left w:val="none" w:sz="0" w:space="0" w:color="auto"/>
            <w:bottom w:val="none" w:sz="0" w:space="0" w:color="auto"/>
            <w:right w:val="none" w:sz="0" w:space="0" w:color="auto"/>
          </w:divBdr>
        </w:div>
        <w:div w:id="1322124920">
          <w:marLeft w:val="0"/>
          <w:marRight w:val="0"/>
          <w:marTop w:val="0"/>
          <w:marBottom w:val="0"/>
          <w:divBdr>
            <w:top w:val="none" w:sz="0" w:space="0" w:color="auto"/>
            <w:left w:val="none" w:sz="0" w:space="0" w:color="auto"/>
            <w:bottom w:val="none" w:sz="0" w:space="0" w:color="auto"/>
            <w:right w:val="none" w:sz="0" w:space="0" w:color="auto"/>
          </w:divBdr>
          <w:divsChild>
            <w:div w:id="1981180771">
              <w:marLeft w:val="0"/>
              <w:marRight w:val="0"/>
              <w:marTop w:val="30"/>
              <w:marBottom w:val="30"/>
              <w:divBdr>
                <w:top w:val="none" w:sz="0" w:space="0" w:color="auto"/>
                <w:left w:val="none" w:sz="0" w:space="0" w:color="auto"/>
                <w:bottom w:val="none" w:sz="0" w:space="0" w:color="auto"/>
                <w:right w:val="none" w:sz="0" w:space="0" w:color="auto"/>
              </w:divBdr>
              <w:divsChild>
                <w:div w:id="26294832">
                  <w:marLeft w:val="0"/>
                  <w:marRight w:val="0"/>
                  <w:marTop w:val="0"/>
                  <w:marBottom w:val="0"/>
                  <w:divBdr>
                    <w:top w:val="none" w:sz="0" w:space="0" w:color="auto"/>
                    <w:left w:val="none" w:sz="0" w:space="0" w:color="auto"/>
                    <w:bottom w:val="none" w:sz="0" w:space="0" w:color="auto"/>
                    <w:right w:val="none" w:sz="0" w:space="0" w:color="auto"/>
                  </w:divBdr>
                  <w:divsChild>
                    <w:div w:id="1646156246">
                      <w:marLeft w:val="0"/>
                      <w:marRight w:val="0"/>
                      <w:marTop w:val="0"/>
                      <w:marBottom w:val="0"/>
                      <w:divBdr>
                        <w:top w:val="none" w:sz="0" w:space="0" w:color="auto"/>
                        <w:left w:val="none" w:sz="0" w:space="0" w:color="auto"/>
                        <w:bottom w:val="none" w:sz="0" w:space="0" w:color="auto"/>
                        <w:right w:val="none" w:sz="0" w:space="0" w:color="auto"/>
                      </w:divBdr>
                    </w:div>
                  </w:divsChild>
                </w:div>
                <w:div w:id="84226186">
                  <w:marLeft w:val="0"/>
                  <w:marRight w:val="0"/>
                  <w:marTop w:val="0"/>
                  <w:marBottom w:val="0"/>
                  <w:divBdr>
                    <w:top w:val="none" w:sz="0" w:space="0" w:color="auto"/>
                    <w:left w:val="none" w:sz="0" w:space="0" w:color="auto"/>
                    <w:bottom w:val="none" w:sz="0" w:space="0" w:color="auto"/>
                    <w:right w:val="none" w:sz="0" w:space="0" w:color="auto"/>
                  </w:divBdr>
                  <w:divsChild>
                    <w:div w:id="1976518147">
                      <w:marLeft w:val="0"/>
                      <w:marRight w:val="0"/>
                      <w:marTop w:val="0"/>
                      <w:marBottom w:val="0"/>
                      <w:divBdr>
                        <w:top w:val="none" w:sz="0" w:space="0" w:color="auto"/>
                        <w:left w:val="none" w:sz="0" w:space="0" w:color="auto"/>
                        <w:bottom w:val="none" w:sz="0" w:space="0" w:color="auto"/>
                        <w:right w:val="none" w:sz="0" w:space="0" w:color="auto"/>
                      </w:divBdr>
                    </w:div>
                  </w:divsChild>
                </w:div>
                <w:div w:id="96028857">
                  <w:marLeft w:val="0"/>
                  <w:marRight w:val="0"/>
                  <w:marTop w:val="0"/>
                  <w:marBottom w:val="0"/>
                  <w:divBdr>
                    <w:top w:val="none" w:sz="0" w:space="0" w:color="auto"/>
                    <w:left w:val="none" w:sz="0" w:space="0" w:color="auto"/>
                    <w:bottom w:val="none" w:sz="0" w:space="0" w:color="auto"/>
                    <w:right w:val="none" w:sz="0" w:space="0" w:color="auto"/>
                  </w:divBdr>
                  <w:divsChild>
                    <w:div w:id="831676556">
                      <w:marLeft w:val="0"/>
                      <w:marRight w:val="0"/>
                      <w:marTop w:val="0"/>
                      <w:marBottom w:val="0"/>
                      <w:divBdr>
                        <w:top w:val="none" w:sz="0" w:space="0" w:color="auto"/>
                        <w:left w:val="none" w:sz="0" w:space="0" w:color="auto"/>
                        <w:bottom w:val="none" w:sz="0" w:space="0" w:color="auto"/>
                        <w:right w:val="none" w:sz="0" w:space="0" w:color="auto"/>
                      </w:divBdr>
                    </w:div>
                  </w:divsChild>
                </w:div>
                <w:div w:id="183977562">
                  <w:marLeft w:val="0"/>
                  <w:marRight w:val="0"/>
                  <w:marTop w:val="0"/>
                  <w:marBottom w:val="0"/>
                  <w:divBdr>
                    <w:top w:val="none" w:sz="0" w:space="0" w:color="auto"/>
                    <w:left w:val="none" w:sz="0" w:space="0" w:color="auto"/>
                    <w:bottom w:val="none" w:sz="0" w:space="0" w:color="auto"/>
                    <w:right w:val="none" w:sz="0" w:space="0" w:color="auto"/>
                  </w:divBdr>
                  <w:divsChild>
                    <w:div w:id="1914704931">
                      <w:marLeft w:val="0"/>
                      <w:marRight w:val="0"/>
                      <w:marTop w:val="0"/>
                      <w:marBottom w:val="0"/>
                      <w:divBdr>
                        <w:top w:val="none" w:sz="0" w:space="0" w:color="auto"/>
                        <w:left w:val="none" w:sz="0" w:space="0" w:color="auto"/>
                        <w:bottom w:val="none" w:sz="0" w:space="0" w:color="auto"/>
                        <w:right w:val="none" w:sz="0" w:space="0" w:color="auto"/>
                      </w:divBdr>
                    </w:div>
                  </w:divsChild>
                </w:div>
                <w:div w:id="273487175">
                  <w:marLeft w:val="0"/>
                  <w:marRight w:val="0"/>
                  <w:marTop w:val="0"/>
                  <w:marBottom w:val="0"/>
                  <w:divBdr>
                    <w:top w:val="none" w:sz="0" w:space="0" w:color="auto"/>
                    <w:left w:val="none" w:sz="0" w:space="0" w:color="auto"/>
                    <w:bottom w:val="none" w:sz="0" w:space="0" w:color="auto"/>
                    <w:right w:val="none" w:sz="0" w:space="0" w:color="auto"/>
                  </w:divBdr>
                  <w:divsChild>
                    <w:div w:id="1305624327">
                      <w:marLeft w:val="0"/>
                      <w:marRight w:val="0"/>
                      <w:marTop w:val="0"/>
                      <w:marBottom w:val="0"/>
                      <w:divBdr>
                        <w:top w:val="none" w:sz="0" w:space="0" w:color="auto"/>
                        <w:left w:val="none" w:sz="0" w:space="0" w:color="auto"/>
                        <w:bottom w:val="none" w:sz="0" w:space="0" w:color="auto"/>
                        <w:right w:val="none" w:sz="0" w:space="0" w:color="auto"/>
                      </w:divBdr>
                    </w:div>
                  </w:divsChild>
                </w:div>
                <w:div w:id="483476240">
                  <w:marLeft w:val="0"/>
                  <w:marRight w:val="0"/>
                  <w:marTop w:val="0"/>
                  <w:marBottom w:val="0"/>
                  <w:divBdr>
                    <w:top w:val="none" w:sz="0" w:space="0" w:color="auto"/>
                    <w:left w:val="none" w:sz="0" w:space="0" w:color="auto"/>
                    <w:bottom w:val="none" w:sz="0" w:space="0" w:color="auto"/>
                    <w:right w:val="none" w:sz="0" w:space="0" w:color="auto"/>
                  </w:divBdr>
                  <w:divsChild>
                    <w:div w:id="1704090174">
                      <w:marLeft w:val="0"/>
                      <w:marRight w:val="0"/>
                      <w:marTop w:val="0"/>
                      <w:marBottom w:val="0"/>
                      <w:divBdr>
                        <w:top w:val="none" w:sz="0" w:space="0" w:color="auto"/>
                        <w:left w:val="none" w:sz="0" w:space="0" w:color="auto"/>
                        <w:bottom w:val="none" w:sz="0" w:space="0" w:color="auto"/>
                        <w:right w:val="none" w:sz="0" w:space="0" w:color="auto"/>
                      </w:divBdr>
                    </w:div>
                  </w:divsChild>
                </w:div>
                <w:div w:id="556860528">
                  <w:marLeft w:val="0"/>
                  <w:marRight w:val="0"/>
                  <w:marTop w:val="0"/>
                  <w:marBottom w:val="0"/>
                  <w:divBdr>
                    <w:top w:val="none" w:sz="0" w:space="0" w:color="auto"/>
                    <w:left w:val="none" w:sz="0" w:space="0" w:color="auto"/>
                    <w:bottom w:val="none" w:sz="0" w:space="0" w:color="auto"/>
                    <w:right w:val="none" w:sz="0" w:space="0" w:color="auto"/>
                  </w:divBdr>
                  <w:divsChild>
                    <w:div w:id="1591550042">
                      <w:marLeft w:val="0"/>
                      <w:marRight w:val="0"/>
                      <w:marTop w:val="0"/>
                      <w:marBottom w:val="0"/>
                      <w:divBdr>
                        <w:top w:val="none" w:sz="0" w:space="0" w:color="auto"/>
                        <w:left w:val="none" w:sz="0" w:space="0" w:color="auto"/>
                        <w:bottom w:val="none" w:sz="0" w:space="0" w:color="auto"/>
                        <w:right w:val="none" w:sz="0" w:space="0" w:color="auto"/>
                      </w:divBdr>
                    </w:div>
                  </w:divsChild>
                </w:div>
                <w:div w:id="557205667">
                  <w:marLeft w:val="0"/>
                  <w:marRight w:val="0"/>
                  <w:marTop w:val="0"/>
                  <w:marBottom w:val="0"/>
                  <w:divBdr>
                    <w:top w:val="none" w:sz="0" w:space="0" w:color="auto"/>
                    <w:left w:val="none" w:sz="0" w:space="0" w:color="auto"/>
                    <w:bottom w:val="none" w:sz="0" w:space="0" w:color="auto"/>
                    <w:right w:val="none" w:sz="0" w:space="0" w:color="auto"/>
                  </w:divBdr>
                  <w:divsChild>
                    <w:div w:id="2100717282">
                      <w:marLeft w:val="0"/>
                      <w:marRight w:val="0"/>
                      <w:marTop w:val="0"/>
                      <w:marBottom w:val="0"/>
                      <w:divBdr>
                        <w:top w:val="none" w:sz="0" w:space="0" w:color="auto"/>
                        <w:left w:val="none" w:sz="0" w:space="0" w:color="auto"/>
                        <w:bottom w:val="none" w:sz="0" w:space="0" w:color="auto"/>
                        <w:right w:val="none" w:sz="0" w:space="0" w:color="auto"/>
                      </w:divBdr>
                    </w:div>
                  </w:divsChild>
                </w:div>
                <w:div w:id="604701466">
                  <w:marLeft w:val="0"/>
                  <w:marRight w:val="0"/>
                  <w:marTop w:val="0"/>
                  <w:marBottom w:val="0"/>
                  <w:divBdr>
                    <w:top w:val="none" w:sz="0" w:space="0" w:color="auto"/>
                    <w:left w:val="none" w:sz="0" w:space="0" w:color="auto"/>
                    <w:bottom w:val="none" w:sz="0" w:space="0" w:color="auto"/>
                    <w:right w:val="none" w:sz="0" w:space="0" w:color="auto"/>
                  </w:divBdr>
                  <w:divsChild>
                    <w:div w:id="1404795410">
                      <w:marLeft w:val="0"/>
                      <w:marRight w:val="0"/>
                      <w:marTop w:val="0"/>
                      <w:marBottom w:val="0"/>
                      <w:divBdr>
                        <w:top w:val="none" w:sz="0" w:space="0" w:color="auto"/>
                        <w:left w:val="none" w:sz="0" w:space="0" w:color="auto"/>
                        <w:bottom w:val="none" w:sz="0" w:space="0" w:color="auto"/>
                        <w:right w:val="none" w:sz="0" w:space="0" w:color="auto"/>
                      </w:divBdr>
                    </w:div>
                  </w:divsChild>
                </w:div>
                <w:div w:id="617906093">
                  <w:marLeft w:val="0"/>
                  <w:marRight w:val="0"/>
                  <w:marTop w:val="0"/>
                  <w:marBottom w:val="0"/>
                  <w:divBdr>
                    <w:top w:val="none" w:sz="0" w:space="0" w:color="auto"/>
                    <w:left w:val="none" w:sz="0" w:space="0" w:color="auto"/>
                    <w:bottom w:val="none" w:sz="0" w:space="0" w:color="auto"/>
                    <w:right w:val="none" w:sz="0" w:space="0" w:color="auto"/>
                  </w:divBdr>
                  <w:divsChild>
                    <w:div w:id="664672776">
                      <w:marLeft w:val="0"/>
                      <w:marRight w:val="0"/>
                      <w:marTop w:val="0"/>
                      <w:marBottom w:val="0"/>
                      <w:divBdr>
                        <w:top w:val="none" w:sz="0" w:space="0" w:color="auto"/>
                        <w:left w:val="none" w:sz="0" w:space="0" w:color="auto"/>
                        <w:bottom w:val="none" w:sz="0" w:space="0" w:color="auto"/>
                        <w:right w:val="none" w:sz="0" w:space="0" w:color="auto"/>
                      </w:divBdr>
                    </w:div>
                  </w:divsChild>
                </w:div>
                <w:div w:id="627591139">
                  <w:marLeft w:val="0"/>
                  <w:marRight w:val="0"/>
                  <w:marTop w:val="0"/>
                  <w:marBottom w:val="0"/>
                  <w:divBdr>
                    <w:top w:val="none" w:sz="0" w:space="0" w:color="auto"/>
                    <w:left w:val="none" w:sz="0" w:space="0" w:color="auto"/>
                    <w:bottom w:val="none" w:sz="0" w:space="0" w:color="auto"/>
                    <w:right w:val="none" w:sz="0" w:space="0" w:color="auto"/>
                  </w:divBdr>
                  <w:divsChild>
                    <w:div w:id="1190098606">
                      <w:marLeft w:val="0"/>
                      <w:marRight w:val="0"/>
                      <w:marTop w:val="0"/>
                      <w:marBottom w:val="0"/>
                      <w:divBdr>
                        <w:top w:val="none" w:sz="0" w:space="0" w:color="auto"/>
                        <w:left w:val="none" w:sz="0" w:space="0" w:color="auto"/>
                        <w:bottom w:val="none" w:sz="0" w:space="0" w:color="auto"/>
                        <w:right w:val="none" w:sz="0" w:space="0" w:color="auto"/>
                      </w:divBdr>
                    </w:div>
                  </w:divsChild>
                </w:div>
                <w:div w:id="853302890">
                  <w:marLeft w:val="0"/>
                  <w:marRight w:val="0"/>
                  <w:marTop w:val="0"/>
                  <w:marBottom w:val="0"/>
                  <w:divBdr>
                    <w:top w:val="none" w:sz="0" w:space="0" w:color="auto"/>
                    <w:left w:val="none" w:sz="0" w:space="0" w:color="auto"/>
                    <w:bottom w:val="none" w:sz="0" w:space="0" w:color="auto"/>
                    <w:right w:val="none" w:sz="0" w:space="0" w:color="auto"/>
                  </w:divBdr>
                  <w:divsChild>
                    <w:div w:id="937057868">
                      <w:marLeft w:val="0"/>
                      <w:marRight w:val="0"/>
                      <w:marTop w:val="0"/>
                      <w:marBottom w:val="0"/>
                      <w:divBdr>
                        <w:top w:val="none" w:sz="0" w:space="0" w:color="auto"/>
                        <w:left w:val="none" w:sz="0" w:space="0" w:color="auto"/>
                        <w:bottom w:val="none" w:sz="0" w:space="0" w:color="auto"/>
                        <w:right w:val="none" w:sz="0" w:space="0" w:color="auto"/>
                      </w:divBdr>
                    </w:div>
                  </w:divsChild>
                </w:div>
                <w:div w:id="862329314">
                  <w:marLeft w:val="0"/>
                  <w:marRight w:val="0"/>
                  <w:marTop w:val="0"/>
                  <w:marBottom w:val="0"/>
                  <w:divBdr>
                    <w:top w:val="none" w:sz="0" w:space="0" w:color="auto"/>
                    <w:left w:val="none" w:sz="0" w:space="0" w:color="auto"/>
                    <w:bottom w:val="none" w:sz="0" w:space="0" w:color="auto"/>
                    <w:right w:val="none" w:sz="0" w:space="0" w:color="auto"/>
                  </w:divBdr>
                  <w:divsChild>
                    <w:div w:id="1918518979">
                      <w:marLeft w:val="0"/>
                      <w:marRight w:val="0"/>
                      <w:marTop w:val="0"/>
                      <w:marBottom w:val="0"/>
                      <w:divBdr>
                        <w:top w:val="none" w:sz="0" w:space="0" w:color="auto"/>
                        <w:left w:val="none" w:sz="0" w:space="0" w:color="auto"/>
                        <w:bottom w:val="none" w:sz="0" w:space="0" w:color="auto"/>
                        <w:right w:val="none" w:sz="0" w:space="0" w:color="auto"/>
                      </w:divBdr>
                    </w:div>
                  </w:divsChild>
                </w:div>
                <w:div w:id="927808352">
                  <w:marLeft w:val="0"/>
                  <w:marRight w:val="0"/>
                  <w:marTop w:val="0"/>
                  <w:marBottom w:val="0"/>
                  <w:divBdr>
                    <w:top w:val="none" w:sz="0" w:space="0" w:color="auto"/>
                    <w:left w:val="none" w:sz="0" w:space="0" w:color="auto"/>
                    <w:bottom w:val="none" w:sz="0" w:space="0" w:color="auto"/>
                    <w:right w:val="none" w:sz="0" w:space="0" w:color="auto"/>
                  </w:divBdr>
                  <w:divsChild>
                    <w:div w:id="146435955">
                      <w:marLeft w:val="0"/>
                      <w:marRight w:val="0"/>
                      <w:marTop w:val="0"/>
                      <w:marBottom w:val="0"/>
                      <w:divBdr>
                        <w:top w:val="none" w:sz="0" w:space="0" w:color="auto"/>
                        <w:left w:val="none" w:sz="0" w:space="0" w:color="auto"/>
                        <w:bottom w:val="none" w:sz="0" w:space="0" w:color="auto"/>
                        <w:right w:val="none" w:sz="0" w:space="0" w:color="auto"/>
                      </w:divBdr>
                    </w:div>
                  </w:divsChild>
                </w:div>
                <w:div w:id="1185245022">
                  <w:marLeft w:val="0"/>
                  <w:marRight w:val="0"/>
                  <w:marTop w:val="0"/>
                  <w:marBottom w:val="0"/>
                  <w:divBdr>
                    <w:top w:val="none" w:sz="0" w:space="0" w:color="auto"/>
                    <w:left w:val="none" w:sz="0" w:space="0" w:color="auto"/>
                    <w:bottom w:val="none" w:sz="0" w:space="0" w:color="auto"/>
                    <w:right w:val="none" w:sz="0" w:space="0" w:color="auto"/>
                  </w:divBdr>
                  <w:divsChild>
                    <w:div w:id="325864829">
                      <w:marLeft w:val="0"/>
                      <w:marRight w:val="0"/>
                      <w:marTop w:val="0"/>
                      <w:marBottom w:val="0"/>
                      <w:divBdr>
                        <w:top w:val="none" w:sz="0" w:space="0" w:color="auto"/>
                        <w:left w:val="none" w:sz="0" w:space="0" w:color="auto"/>
                        <w:bottom w:val="none" w:sz="0" w:space="0" w:color="auto"/>
                        <w:right w:val="none" w:sz="0" w:space="0" w:color="auto"/>
                      </w:divBdr>
                    </w:div>
                  </w:divsChild>
                </w:div>
                <w:div w:id="1234467360">
                  <w:marLeft w:val="0"/>
                  <w:marRight w:val="0"/>
                  <w:marTop w:val="0"/>
                  <w:marBottom w:val="0"/>
                  <w:divBdr>
                    <w:top w:val="none" w:sz="0" w:space="0" w:color="auto"/>
                    <w:left w:val="none" w:sz="0" w:space="0" w:color="auto"/>
                    <w:bottom w:val="none" w:sz="0" w:space="0" w:color="auto"/>
                    <w:right w:val="none" w:sz="0" w:space="0" w:color="auto"/>
                  </w:divBdr>
                  <w:divsChild>
                    <w:div w:id="1749957815">
                      <w:marLeft w:val="0"/>
                      <w:marRight w:val="0"/>
                      <w:marTop w:val="0"/>
                      <w:marBottom w:val="0"/>
                      <w:divBdr>
                        <w:top w:val="none" w:sz="0" w:space="0" w:color="auto"/>
                        <w:left w:val="none" w:sz="0" w:space="0" w:color="auto"/>
                        <w:bottom w:val="none" w:sz="0" w:space="0" w:color="auto"/>
                        <w:right w:val="none" w:sz="0" w:space="0" w:color="auto"/>
                      </w:divBdr>
                    </w:div>
                  </w:divsChild>
                </w:div>
                <w:div w:id="1277296925">
                  <w:marLeft w:val="0"/>
                  <w:marRight w:val="0"/>
                  <w:marTop w:val="0"/>
                  <w:marBottom w:val="0"/>
                  <w:divBdr>
                    <w:top w:val="none" w:sz="0" w:space="0" w:color="auto"/>
                    <w:left w:val="none" w:sz="0" w:space="0" w:color="auto"/>
                    <w:bottom w:val="none" w:sz="0" w:space="0" w:color="auto"/>
                    <w:right w:val="none" w:sz="0" w:space="0" w:color="auto"/>
                  </w:divBdr>
                  <w:divsChild>
                    <w:div w:id="35155627">
                      <w:marLeft w:val="0"/>
                      <w:marRight w:val="0"/>
                      <w:marTop w:val="0"/>
                      <w:marBottom w:val="0"/>
                      <w:divBdr>
                        <w:top w:val="none" w:sz="0" w:space="0" w:color="auto"/>
                        <w:left w:val="none" w:sz="0" w:space="0" w:color="auto"/>
                        <w:bottom w:val="none" w:sz="0" w:space="0" w:color="auto"/>
                        <w:right w:val="none" w:sz="0" w:space="0" w:color="auto"/>
                      </w:divBdr>
                    </w:div>
                  </w:divsChild>
                </w:div>
                <w:div w:id="1463425996">
                  <w:marLeft w:val="0"/>
                  <w:marRight w:val="0"/>
                  <w:marTop w:val="0"/>
                  <w:marBottom w:val="0"/>
                  <w:divBdr>
                    <w:top w:val="none" w:sz="0" w:space="0" w:color="auto"/>
                    <w:left w:val="none" w:sz="0" w:space="0" w:color="auto"/>
                    <w:bottom w:val="none" w:sz="0" w:space="0" w:color="auto"/>
                    <w:right w:val="none" w:sz="0" w:space="0" w:color="auto"/>
                  </w:divBdr>
                  <w:divsChild>
                    <w:div w:id="1677153398">
                      <w:marLeft w:val="0"/>
                      <w:marRight w:val="0"/>
                      <w:marTop w:val="0"/>
                      <w:marBottom w:val="0"/>
                      <w:divBdr>
                        <w:top w:val="none" w:sz="0" w:space="0" w:color="auto"/>
                        <w:left w:val="none" w:sz="0" w:space="0" w:color="auto"/>
                        <w:bottom w:val="none" w:sz="0" w:space="0" w:color="auto"/>
                        <w:right w:val="none" w:sz="0" w:space="0" w:color="auto"/>
                      </w:divBdr>
                    </w:div>
                  </w:divsChild>
                </w:div>
                <w:div w:id="1485000745">
                  <w:marLeft w:val="0"/>
                  <w:marRight w:val="0"/>
                  <w:marTop w:val="0"/>
                  <w:marBottom w:val="0"/>
                  <w:divBdr>
                    <w:top w:val="none" w:sz="0" w:space="0" w:color="auto"/>
                    <w:left w:val="none" w:sz="0" w:space="0" w:color="auto"/>
                    <w:bottom w:val="none" w:sz="0" w:space="0" w:color="auto"/>
                    <w:right w:val="none" w:sz="0" w:space="0" w:color="auto"/>
                  </w:divBdr>
                  <w:divsChild>
                    <w:div w:id="962928618">
                      <w:marLeft w:val="0"/>
                      <w:marRight w:val="0"/>
                      <w:marTop w:val="0"/>
                      <w:marBottom w:val="0"/>
                      <w:divBdr>
                        <w:top w:val="none" w:sz="0" w:space="0" w:color="auto"/>
                        <w:left w:val="none" w:sz="0" w:space="0" w:color="auto"/>
                        <w:bottom w:val="none" w:sz="0" w:space="0" w:color="auto"/>
                        <w:right w:val="none" w:sz="0" w:space="0" w:color="auto"/>
                      </w:divBdr>
                    </w:div>
                  </w:divsChild>
                </w:div>
                <w:div w:id="1716738568">
                  <w:marLeft w:val="0"/>
                  <w:marRight w:val="0"/>
                  <w:marTop w:val="0"/>
                  <w:marBottom w:val="0"/>
                  <w:divBdr>
                    <w:top w:val="none" w:sz="0" w:space="0" w:color="auto"/>
                    <w:left w:val="none" w:sz="0" w:space="0" w:color="auto"/>
                    <w:bottom w:val="none" w:sz="0" w:space="0" w:color="auto"/>
                    <w:right w:val="none" w:sz="0" w:space="0" w:color="auto"/>
                  </w:divBdr>
                  <w:divsChild>
                    <w:div w:id="205873765">
                      <w:marLeft w:val="0"/>
                      <w:marRight w:val="0"/>
                      <w:marTop w:val="0"/>
                      <w:marBottom w:val="0"/>
                      <w:divBdr>
                        <w:top w:val="none" w:sz="0" w:space="0" w:color="auto"/>
                        <w:left w:val="none" w:sz="0" w:space="0" w:color="auto"/>
                        <w:bottom w:val="none" w:sz="0" w:space="0" w:color="auto"/>
                        <w:right w:val="none" w:sz="0" w:space="0" w:color="auto"/>
                      </w:divBdr>
                    </w:div>
                  </w:divsChild>
                </w:div>
                <w:div w:id="1825660720">
                  <w:marLeft w:val="0"/>
                  <w:marRight w:val="0"/>
                  <w:marTop w:val="0"/>
                  <w:marBottom w:val="0"/>
                  <w:divBdr>
                    <w:top w:val="none" w:sz="0" w:space="0" w:color="auto"/>
                    <w:left w:val="none" w:sz="0" w:space="0" w:color="auto"/>
                    <w:bottom w:val="none" w:sz="0" w:space="0" w:color="auto"/>
                    <w:right w:val="none" w:sz="0" w:space="0" w:color="auto"/>
                  </w:divBdr>
                  <w:divsChild>
                    <w:div w:id="333457954">
                      <w:marLeft w:val="0"/>
                      <w:marRight w:val="0"/>
                      <w:marTop w:val="0"/>
                      <w:marBottom w:val="0"/>
                      <w:divBdr>
                        <w:top w:val="none" w:sz="0" w:space="0" w:color="auto"/>
                        <w:left w:val="none" w:sz="0" w:space="0" w:color="auto"/>
                        <w:bottom w:val="none" w:sz="0" w:space="0" w:color="auto"/>
                        <w:right w:val="none" w:sz="0" w:space="0" w:color="auto"/>
                      </w:divBdr>
                    </w:div>
                    <w:div w:id="1124470811">
                      <w:marLeft w:val="0"/>
                      <w:marRight w:val="0"/>
                      <w:marTop w:val="0"/>
                      <w:marBottom w:val="0"/>
                      <w:divBdr>
                        <w:top w:val="none" w:sz="0" w:space="0" w:color="auto"/>
                        <w:left w:val="none" w:sz="0" w:space="0" w:color="auto"/>
                        <w:bottom w:val="none" w:sz="0" w:space="0" w:color="auto"/>
                        <w:right w:val="none" w:sz="0" w:space="0" w:color="auto"/>
                      </w:divBdr>
                    </w:div>
                    <w:div w:id="1245725951">
                      <w:marLeft w:val="0"/>
                      <w:marRight w:val="0"/>
                      <w:marTop w:val="0"/>
                      <w:marBottom w:val="0"/>
                      <w:divBdr>
                        <w:top w:val="none" w:sz="0" w:space="0" w:color="auto"/>
                        <w:left w:val="none" w:sz="0" w:space="0" w:color="auto"/>
                        <w:bottom w:val="none" w:sz="0" w:space="0" w:color="auto"/>
                        <w:right w:val="none" w:sz="0" w:space="0" w:color="auto"/>
                      </w:divBdr>
                    </w:div>
                    <w:div w:id="1755785571">
                      <w:marLeft w:val="0"/>
                      <w:marRight w:val="0"/>
                      <w:marTop w:val="0"/>
                      <w:marBottom w:val="0"/>
                      <w:divBdr>
                        <w:top w:val="none" w:sz="0" w:space="0" w:color="auto"/>
                        <w:left w:val="none" w:sz="0" w:space="0" w:color="auto"/>
                        <w:bottom w:val="none" w:sz="0" w:space="0" w:color="auto"/>
                        <w:right w:val="none" w:sz="0" w:space="0" w:color="auto"/>
                      </w:divBdr>
                    </w:div>
                  </w:divsChild>
                </w:div>
                <w:div w:id="1835876247">
                  <w:marLeft w:val="0"/>
                  <w:marRight w:val="0"/>
                  <w:marTop w:val="0"/>
                  <w:marBottom w:val="0"/>
                  <w:divBdr>
                    <w:top w:val="none" w:sz="0" w:space="0" w:color="auto"/>
                    <w:left w:val="none" w:sz="0" w:space="0" w:color="auto"/>
                    <w:bottom w:val="none" w:sz="0" w:space="0" w:color="auto"/>
                    <w:right w:val="none" w:sz="0" w:space="0" w:color="auto"/>
                  </w:divBdr>
                  <w:divsChild>
                    <w:div w:id="890001113">
                      <w:marLeft w:val="0"/>
                      <w:marRight w:val="0"/>
                      <w:marTop w:val="0"/>
                      <w:marBottom w:val="0"/>
                      <w:divBdr>
                        <w:top w:val="none" w:sz="0" w:space="0" w:color="auto"/>
                        <w:left w:val="none" w:sz="0" w:space="0" w:color="auto"/>
                        <w:bottom w:val="none" w:sz="0" w:space="0" w:color="auto"/>
                        <w:right w:val="none" w:sz="0" w:space="0" w:color="auto"/>
                      </w:divBdr>
                    </w:div>
                  </w:divsChild>
                </w:div>
                <w:div w:id="1967005941">
                  <w:marLeft w:val="0"/>
                  <w:marRight w:val="0"/>
                  <w:marTop w:val="0"/>
                  <w:marBottom w:val="0"/>
                  <w:divBdr>
                    <w:top w:val="none" w:sz="0" w:space="0" w:color="auto"/>
                    <w:left w:val="none" w:sz="0" w:space="0" w:color="auto"/>
                    <w:bottom w:val="none" w:sz="0" w:space="0" w:color="auto"/>
                    <w:right w:val="none" w:sz="0" w:space="0" w:color="auto"/>
                  </w:divBdr>
                  <w:divsChild>
                    <w:div w:id="1759253472">
                      <w:marLeft w:val="0"/>
                      <w:marRight w:val="0"/>
                      <w:marTop w:val="0"/>
                      <w:marBottom w:val="0"/>
                      <w:divBdr>
                        <w:top w:val="none" w:sz="0" w:space="0" w:color="auto"/>
                        <w:left w:val="none" w:sz="0" w:space="0" w:color="auto"/>
                        <w:bottom w:val="none" w:sz="0" w:space="0" w:color="auto"/>
                        <w:right w:val="none" w:sz="0" w:space="0" w:color="auto"/>
                      </w:divBdr>
                    </w:div>
                  </w:divsChild>
                </w:div>
                <w:div w:id="1999385366">
                  <w:marLeft w:val="0"/>
                  <w:marRight w:val="0"/>
                  <w:marTop w:val="0"/>
                  <w:marBottom w:val="0"/>
                  <w:divBdr>
                    <w:top w:val="none" w:sz="0" w:space="0" w:color="auto"/>
                    <w:left w:val="none" w:sz="0" w:space="0" w:color="auto"/>
                    <w:bottom w:val="none" w:sz="0" w:space="0" w:color="auto"/>
                    <w:right w:val="none" w:sz="0" w:space="0" w:color="auto"/>
                  </w:divBdr>
                  <w:divsChild>
                    <w:div w:id="20448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481487">
          <w:marLeft w:val="0"/>
          <w:marRight w:val="0"/>
          <w:marTop w:val="0"/>
          <w:marBottom w:val="0"/>
          <w:divBdr>
            <w:top w:val="none" w:sz="0" w:space="0" w:color="auto"/>
            <w:left w:val="none" w:sz="0" w:space="0" w:color="auto"/>
            <w:bottom w:val="none" w:sz="0" w:space="0" w:color="auto"/>
            <w:right w:val="none" w:sz="0" w:space="0" w:color="auto"/>
          </w:divBdr>
        </w:div>
        <w:div w:id="1374190245">
          <w:marLeft w:val="0"/>
          <w:marRight w:val="0"/>
          <w:marTop w:val="0"/>
          <w:marBottom w:val="0"/>
          <w:divBdr>
            <w:top w:val="none" w:sz="0" w:space="0" w:color="auto"/>
            <w:left w:val="none" w:sz="0" w:space="0" w:color="auto"/>
            <w:bottom w:val="none" w:sz="0" w:space="0" w:color="auto"/>
            <w:right w:val="none" w:sz="0" w:space="0" w:color="auto"/>
          </w:divBdr>
        </w:div>
        <w:div w:id="1393043719">
          <w:marLeft w:val="0"/>
          <w:marRight w:val="0"/>
          <w:marTop w:val="0"/>
          <w:marBottom w:val="0"/>
          <w:divBdr>
            <w:top w:val="none" w:sz="0" w:space="0" w:color="auto"/>
            <w:left w:val="none" w:sz="0" w:space="0" w:color="auto"/>
            <w:bottom w:val="none" w:sz="0" w:space="0" w:color="auto"/>
            <w:right w:val="none" w:sz="0" w:space="0" w:color="auto"/>
          </w:divBdr>
        </w:div>
      </w:divsChild>
    </w:div>
    <w:div w:id="664673922">
      <w:bodyDiv w:val="1"/>
      <w:marLeft w:val="0"/>
      <w:marRight w:val="0"/>
      <w:marTop w:val="0"/>
      <w:marBottom w:val="0"/>
      <w:divBdr>
        <w:top w:val="none" w:sz="0" w:space="0" w:color="auto"/>
        <w:left w:val="none" w:sz="0" w:space="0" w:color="auto"/>
        <w:bottom w:val="none" w:sz="0" w:space="0" w:color="auto"/>
        <w:right w:val="none" w:sz="0" w:space="0" w:color="auto"/>
      </w:divBdr>
    </w:div>
    <w:div w:id="746268440">
      <w:bodyDiv w:val="1"/>
      <w:marLeft w:val="0"/>
      <w:marRight w:val="0"/>
      <w:marTop w:val="0"/>
      <w:marBottom w:val="0"/>
      <w:divBdr>
        <w:top w:val="none" w:sz="0" w:space="0" w:color="auto"/>
        <w:left w:val="none" w:sz="0" w:space="0" w:color="auto"/>
        <w:bottom w:val="none" w:sz="0" w:space="0" w:color="auto"/>
        <w:right w:val="none" w:sz="0" w:space="0" w:color="auto"/>
      </w:divBdr>
    </w:div>
    <w:div w:id="2071690947">
      <w:bodyDiv w:val="1"/>
      <w:marLeft w:val="0"/>
      <w:marRight w:val="0"/>
      <w:marTop w:val="0"/>
      <w:marBottom w:val="0"/>
      <w:divBdr>
        <w:top w:val="none" w:sz="0" w:space="0" w:color="auto"/>
        <w:left w:val="none" w:sz="0" w:space="0" w:color="auto"/>
        <w:bottom w:val="none" w:sz="0" w:space="0" w:color="auto"/>
        <w:right w:val="none" w:sz="0" w:space="0" w:color="auto"/>
      </w:divBdr>
      <w:divsChild>
        <w:div w:id="240919538">
          <w:marLeft w:val="0"/>
          <w:marRight w:val="0"/>
          <w:marTop w:val="0"/>
          <w:marBottom w:val="0"/>
          <w:divBdr>
            <w:top w:val="none" w:sz="0" w:space="0" w:color="auto"/>
            <w:left w:val="none" w:sz="0" w:space="0" w:color="auto"/>
            <w:bottom w:val="none" w:sz="0" w:space="0" w:color="auto"/>
            <w:right w:val="none" w:sz="0" w:space="0" w:color="auto"/>
          </w:divBdr>
        </w:div>
        <w:div w:id="260574500">
          <w:marLeft w:val="0"/>
          <w:marRight w:val="0"/>
          <w:marTop w:val="0"/>
          <w:marBottom w:val="0"/>
          <w:divBdr>
            <w:top w:val="none" w:sz="0" w:space="0" w:color="auto"/>
            <w:left w:val="none" w:sz="0" w:space="0" w:color="auto"/>
            <w:bottom w:val="none" w:sz="0" w:space="0" w:color="auto"/>
            <w:right w:val="none" w:sz="0" w:space="0" w:color="auto"/>
          </w:divBdr>
        </w:div>
        <w:div w:id="307516597">
          <w:marLeft w:val="0"/>
          <w:marRight w:val="0"/>
          <w:marTop w:val="0"/>
          <w:marBottom w:val="0"/>
          <w:divBdr>
            <w:top w:val="none" w:sz="0" w:space="0" w:color="auto"/>
            <w:left w:val="none" w:sz="0" w:space="0" w:color="auto"/>
            <w:bottom w:val="none" w:sz="0" w:space="0" w:color="auto"/>
            <w:right w:val="none" w:sz="0" w:space="0" w:color="auto"/>
          </w:divBdr>
        </w:div>
        <w:div w:id="667516709">
          <w:marLeft w:val="0"/>
          <w:marRight w:val="0"/>
          <w:marTop w:val="0"/>
          <w:marBottom w:val="0"/>
          <w:divBdr>
            <w:top w:val="none" w:sz="0" w:space="0" w:color="auto"/>
            <w:left w:val="none" w:sz="0" w:space="0" w:color="auto"/>
            <w:bottom w:val="none" w:sz="0" w:space="0" w:color="auto"/>
            <w:right w:val="none" w:sz="0" w:space="0" w:color="auto"/>
          </w:divBdr>
        </w:div>
        <w:div w:id="772700739">
          <w:marLeft w:val="0"/>
          <w:marRight w:val="0"/>
          <w:marTop w:val="0"/>
          <w:marBottom w:val="0"/>
          <w:divBdr>
            <w:top w:val="none" w:sz="0" w:space="0" w:color="auto"/>
            <w:left w:val="none" w:sz="0" w:space="0" w:color="auto"/>
            <w:bottom w:val="none" w:sz="0" w:space="0" w:color="auto"/>
            <w:right w:val="none" w:sz="0" w:space="0" w:color="auto"/>
          </w:divBdr>
        </w:div>
        <w:div w:id="950745559">
          <w:marLeft w:val="0"/>
          <w:marRight w:val="0"/>
          <w:marTop w:val="0"/>
          <w:marBottom w:val="0"/>
          <w:divBdr>
            <w:top w:val="none" w:sz="0" w:space="0" w:color="auto"/>
            <w:left w:val="none" w:sz="0" w:space="0" w:color="auto"/>
            <w:bottom w:val="none" w:sz="0" w:space="0" w:color="auto"/>
            <w:right w:val="none" w:sz="0" w:space="0" w:color="auto"/>
          </w:divBdr>
        </w:div>
        <w:div w:id="1303078225">
          <w:marLeft w:val="0"/>
          <w:marRight w:val="0"/>
          <w:marTop w:val="0"/>
          <w:marBottom w:val="0"/>
          <w:divBdr>
            <w:top w:val="none" w:sz="0" w:space="0" w:color="auto"/>
            <w:left w:val="none" w:sz="0" w:space="0" w:color="auto"/>
            <w:bottom w:val="none" w:sz="0" w:space="0" w:color="auto"/>
            <w:right w:val="none" w:sz="0" w:space="0" w:color="auto"/>
          </w:divBdr>
        </w:div>
        <w:div w:id="2108193655">
          <w:marLeft w:val="0"/>
          <w:marRight w:val="0"/>
          <w:marTop w:val="0"/>
          <w:marBottom w:val="0"/>
          <w:divBdr>
            <w:top w:val="none" w:sz="0" w:space="0" w:color="auto"/>
            <w:left w:val="none" w:sz="0" w:space="0" w:color="auto"/>
            <w:bottom w:val="none" w:sz="0" w:space="0" w:color="auto"/>
            <w:right w:val="none" w:sz="0" w:space="0" w:color="auto"/>
          </w:divBdr>
        </w:div>
        <w:div w:id="21145199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Paralympics Australia - updated 2023">
  <a:themeElements>
    <a:clrScheme name="Paralympics Australia">
      <a:dk1>
        <a:srgbClr val="000000"/>
      </a:dk1>
      <a:lt1>
        <a:srgbClr val="FFFFFF"/>
      </a:lt1>
      <a:dk2>
        <a:srgbClr val="007B77"/>
      </a:dk2>
      <a:lt2>
        <a:srgbClr val="F0FF00"/>
      </a:lt2>
      <a:accent1>
        <a:srgbClr val="00454D"/>
      </a:accent1>
      <a:accent2>
        <a:srgbClr val="F0FF00"/>
      </a:accent2>
      <a:accent3>
        <a:srgbClr val="FFFFFF"/>
      </a:accent3>
      <a:accent4>
        <a:srgbClr val="007B77"/>
      </a:accent4>
      <a:accent5>
        <a:srgbClr val="000000"/>
      </a:accent5>
      <a:accent6>
        <a:srgbClr val="000000"/>
      </a:accent6>
      <a:hlink>
        <a:srgbClr val="007B77"/>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529DA8E98C54D8F1F9CBB7F56EDD0" ma:contentTypeVersion="17" ma:contentTypeDescription="Create a new document." ma:contentTypeScope="" ma:versionID="f926c502009b1d9d0a08ff2267d76e9e">
  <xsd:schema xmlns:xsd="http://www.w3.org/2001/XMLSchema" xmlns:xs="http://www.w3.org/2001/XMLSchema" xmlns:p="http://schemas.microsoft.com/office/2006/metadata/properties" xmlns:ns2="e1534f1e-0d07-4a56-bd88-474e9aa302cd" xmlns:ns3="e23404a0-2595-437f-a018-5dfb8a901c02" targetNamespace="http://schemas.microsoft.com/office/2006/metadata/properties" ma:root="true" ma:fieldsID="3a77f979ee867fcfc8e5c409ee2b3fc7" ns2:_="" ns3:_="">
    <xsd:import namespace="e1534f1e-0d07-4a56-bd88-474e9aa302cd"/>
    <xsd:import namespace="e23404a0-2595-437f-a018-5dfb8a901c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4f1e-0d07-4a56-bd88-474e9aa30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1972d2d-db34-410c-a071-c6a2e6856a6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3404a0-2595-437f-a018-5dfb8a901c0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82c7a06-6622-4d16-9764-08327503a26b}" ma:internalName="TaxCatchAll" ma:showField="CatchAllData" ma:web="e23404a0-2595-437f-a018-5dfb8a901c0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3404a0-2595-437f-a018-5dfb8a901c02" xsi:nil="true"/>
    <lcf76f155ced4ddcb4097134ff3c332f xmlns="e1534f1e-0d07-4a56-bd88-474e9aa302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8D61F-EE3B-4D9D-8CB7-A6A26DCD2E49}"/>
</file>

<file path=customXml/itemProps2.xml><?xml version="1.0" encoding="utf-8"?>
<ds:datastoreItem xmlns:ds="http://schemas.openxmlformats.org/officeDocument/2006/customXml" ds:itemID="{6F1EF861-C35B-4E64-AC70-69C3F765AB37}">
  <ds:schemaRefs>
    <ds:schemaRef ds:uri="http://schemas.microsoft.com/sharepoint/v3/contenttype/forms"/>
  </ds:schemaRefs>
</ds:datastoreItem>
</file>

<file path=customXml/itemProps3.xml><?xml version="1.0" encoding="utf-8"?>
<ds:datastoreItem xmlns:ds="http://schemas.openxmlformats.org/officeDocument/2006/customXml" ds:itemID="{6642D54B-D242-4021-8E34-F39A30F37279}">
  <ds:schemaRefs>
    <ds:schemaRef ds:uri="http://schemas.microsoft.com/office/2006/metadata/properties"/>
    <ds:schemaRef ds:uri="http://schemas.microsoft.com/office/infopath/2007/PartnerControls"/>
    <ds:schemaRef ds:uri="e23404a0-2595-437f-a018-5dfb8a901c02"/>
    <ds:schemaRef ds:uri="e1534f1e-0d07-4a56-bd88-474e9aa302cd"/>
  </ds:schemaRefs>
</ds:datastoreItem>
</file>

<file path=customXml/itemProps4.xml><?xml version="1.0" encoding="utf-8"?>
<ds:datastoreItem xmlns:ds="http://schemas.openxmlformats.org/officeDocument/2006/customXml" ds:itemID="{3D5B1902-835B-48C5-B246-1AAB17AF4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1323</Words>
  <Characters>7547</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Paralympics Australia Policy Template</vt:lpstr>
    </vt:vector>
  </TitlesOfParts>
  <Company/>
  <LinksUpToDate>false</LinksUpToDate>
  <CharactersWithSpaces>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Paralympics Australia Policy Template</dc:title>
  <dc:subject/>
  <dc:creator>Jon Henschke</dc:creator>
  <cp:keywords>Template</cp:keywords>
  <cp:lastModifiedBy>Rebekah Stuart</cp:lastModifiedBy>
  <cp:revision>2</cp:revision>
  <cp:lastPrinted>2023-12-12T23:40:00Z</cp:lastPrinted>
  <dcterms:created xsi:type="dcterms:W3CDTF">2024-07-08T06:11:00Z</dcterms:created>
  <dcterms:modified xsi:type="dcterms:W3CDTF">2024-07-08T06:11:00Z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0x0101001D1529DA8E98C54D8F1F9CBB7F56EDD0</vt:lpwstr>
  </property>
  <property fmtid="{D5CDD505-2E9C-101B-9397-08002B2CF9AE}" pid="3" name="MediaServiceImageTags">
    <vt:lpwstr/>
  </property>
</Properties>
</file>